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8B9D3" w14:textId="77777777" w:rsidR="008644D5" w:rsidRPr="00141874" w:rsidRDefault="008644D5" w:rsidP="008644D5">
      <w:pPr>
        <w:pStyle w:val="Sansinterligne"/>
        <w:ind w:left="5664"/>
        <w:rPr>
          <w:rFonts w:ascii="Tahoma" w:hAnsi="Tahoma" w:cs="Tahoma"/>
        </w:rPr>
      </w:pPr>
      <w:r w:rsidRPr="00141874">
        <w:rPr>
          <w:rFonts w:ascii="Tahoma" w:hAnsi="Tahoma" w:cs="Tahoma"/>
        </w:rPr>
        <w:t>N° de convention : 2020-PSC-</w:t>
      </w:r>
      <w:r w:rsidRPr="00141874">
        <w:rPr>
          <w:rFonts w:ascii="Tahoma" w:hAnsi="Tahoma" w:cs="Tahoma"/>
          <w:highlight w:val="yellow"/>
        </w:rPr>
        <w:t>XX</w:t>
      </w:r>
    </w:p>
    <w:p w14:paraId="60BD7AC3" w14:textId="77777777" w:rsidR="008644D5" w:rsidRPr="00141874" w:rsidRDefault="004D2F6A" w:rsidP="00A61010">
      <w:pPr>
        <w:suppressAutoHyphens w:val="0"/>
        <w:autoSpaceDE w:val="0"/>
        <w:autoSpaceDN w:val="0"/>
        <w:adjustRightInd w:val="0"/>
        <w:spacing w:line="240" w:lineRule="auto"/>
        <w:jc w:val="center"/>
        <w:rPr>
          <w:rFonts w:ascii="Tahoma" w:hAnsi="Tahoma" w:cs="Tahoma"/>
          <w:b/>
          <w:sz w:val="24"/>
        </w:rPr>
      </w:pPr>
      <w:r>
        <w:rPr>
          <w:rFonts w:ascii="Tahoma" w:hAnsi="Tahoma" w:cs="Tahoma"/>
          <w:noProof/>
        </w:rPr>
        <w:pict w14:anchorId="05D7675F">
          <v:roundrect id="AutoShape 2" o:spid="_x0000_s1030" style="position:absolute;left:0;text-align:left;margin-left:21.45pt;margin-top:17.1pt;width:289.55pt;height:105.9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" fillcolor="white [3201]" strokecolor="black [3200]" strokeweight="2.5pt">
            <v:shadow on="t" color="#868686" opacity=".5" offset="6pt,6pt"/>
            <v:textbox>
              <w:txbxContent>
                <w:p w14:paraId="6D4F5122" w14:textId="77777777" w:rsidR="008644D5" w:rsidRPr="00690F33" w:rsidRDefault="008644D5" w:rsidP="008644D5">
                  <w:pPr>
                    <w:jc w:val="center"/>
                    <w:rPr>
                      <w:b/>
                      <w:sz w:val="32"/>
                      <w:szCs w:val="36"/>
                    </w:rPr>
                  </w:pPr>
                  <w:r w:rsidRPr="00690F33">
                    <w:rPr>
                      <w:b/>
                      <w:sz w:val="32"/>
                      <w:szCs w:val="36"/>
                    </w:rPr>
                    <w:t xml:space="preserve">CONVENTION D’ADHESION </w:t>
                  </w:r>
                  <w:r w:rsidR="00AB16EE">
                    <w:rPr>
                      <w:b/>
                      <w:sz w:val="32"/>
                      <w:szCs w:val="36"/>
                    </w:rPr>
                    <w:t>A LA CONVENTION DE PARTICIPATION</w:t>
                  </w:r>
                  <w:r w:rsidRPr="00690F33">
                    <w:rPr>
                      <w:b/>
                      <w:sz w:val="32"/>
                      <w:szCs w:val="36"/>
                    </w:rPr>
                    <w:t xml:space="preserve"> DU CDG74</w:t>
                  </w:r>
                </w:p>
                <w:p w14:paraId="16E866FC" w14:textId="77777777" w:rsidR="00690F33" w:rsidRPr="00690F33" w:rsidRDefault="00690F33" w:rsidP="008644D5">
                  <w:pPr>
                    <w:jc w:val="center"/>
                    <w:rPr>
                      <w:i/>
                      <w:sz w:val="28"/>
                      <w:szCs w:val="36"/>
                    </w:rPr>
                  </w:pPr>
                  <w:r w:rsidRPr="00690F33">
                    <w:rPr>
                      <w:i/>
                      <w:sz w:val="28"/>
                      <w:szCs w:val="36"/>
                    </w:rPr>
                    <w:t xml:space="preserve">Collectivité : </w:t>
                  </w:r>
                  <w:r w:rsidRPr="00690F33">
                    <w:rPr>
                      <w:i/>
                      <w:sz w:val="28"/>
                      <w:szCs w:val="36"/>
                      <w:highlight w:val="yellow"/>
                    </w:rPr>
                    <w:t>XXX</w:t>
                  </w:r>
                </w:p>
              </w:txbxContent>
            </v:textbox>
          </v:roundrect>
        </w:pict>
      </w:r>
    </w:p>
    <w:p w14:paraId="601B83FF" w14:textId="77777777" w:rsidR="008644D5" w:rsidRPr="00141874" w:rsidRDefault="008644D5" w:rsidP="00A61010">
      <w:pPr>
        <w:suppressAutoHyphens w:val="0"/>
        <w:autoSpaceDE w:val="0"/>
        <w:autoSpaceDN w:val="0"/>
        <w:adjustRightInd w:val="0"/>
        <w:spacing w:line="240" w:lineRule="auto"/>
        <w:jc w:val="center"/>
        <w:rPr>
          <w:rFonts w:ascii="Tahoma" w:hAnsi="Tahoma" w:cs="Tahoma"/>
          <w:b/>
          <w:sz w:val="24"/>
        </w:rPr>
      </w:pPr>
    </w:p>
    <w:p w14:paraId="1AA3C2D4" w14:textId="77777777" w:rsidR="008644D5" w:rsidRPr="00141874" w:rsidRDefault="008644D5" w:rsidP="00A61010">
      <w:pPr>
        <w:suppressAutoHyphens w:val="0"/>
        <w:autoSpaceDE w:val="0"/>
        <w:autoSpaceDN w:val="0"/>
        <w:adjustRightInd w:val="0"/>
        <w:spacing w:line="240" w:lineRule="auto"/>
        <w:jc w:val="center"/>
        <w:rPr>
          <w:rFonts w:ascii="Tahoma" w:hAnsi="Tahoma" w:cs="Tahoma"/>
          <w:b/>
          <w:sz w:val="24"/>
        </w:rPr>
      </w:pPr>
    </w:p>
    <w:p w14:paraId="1775F5CA" w14:textId="77777777" w:rsidR="008644D5" w:rsidRPr="00141874" w:rsidRDefault="008644D5" w:rsidP="00A61010">
      <w:pPr>
        <w:suppressAutoHyphens w:val="0"/>
        <w:autoSpaceDE w:val="0"/>
        <w:autoSpaceDN w:val="0"/>
        <w:adjustRightInd w:val="0"/>
        <w:spacing w:line="240" w:lineRule="auto"/>
        <w:jc w:val="center"/>
        <w:rPr>
          <w:rFonts w:ascii="Tahoma" w:hAnsi="Tahoma" w:cs="Tahoma"/>
          <w:b/>
          <w:sz w:val="24"/>
        </w:rPr>
      </w:pPr>
    </w:p>
    <w:p w14:paraId="236317C2" w14:textId="77777777" w:rsidR="008644D5" w:rsidRPr="00141874" w:rsidRDefault="008644D5" w:rsidP="00A61010">
      <w:pPr>
        <w:suppressAutoHyphens w:val="0"/>
        <w:autoSpaceDE w:val="0"/>
        <w:autoSpaceDN w:val="0"/>
        <w:adjustRightInd w:val="0"/>
        <w:spacing w:line="240" w:lineRule="auto"/>
        <w:jc w:val="center"/>
        <w:rPr>
          <w:rFonts w:ascii="Tahoma" w:hAnsi="Tahoma" w:cs="Tahoma"/>
          <w:b/>
          <w:sz w:val="24"/>
        </w:rPr>
      </w:pPr>
    </w:p>
    <w:p w14:paraId="2B932AFF" w14:textId="77777777" w:rsidR="00A61010" w:rsidRPr="00141874" w:rsidRDefault="008644D5" w:rsidP="00A61010">
      <w:pPr>
        <w:suppressAutoHyphens w:val="0"/>
        <w:autoSpaceDE w:val="0"/>
        <w:autoSpaceDN w:val="0"/>
        <w:adjustRightInd w:val="0"/>
        <w:spacing w:line="240" w:lineRule="auto"/>
        <w:jc w:val="center"/>
        <w:rPr>
          <w:rFonts w:ascii="Tahoma" w:hAnsi="Tahoma" w:cs="Tahoma"/>
          <w:b/>
          <w:sz w:val="24"/>
        </w:rPr>
      </w:pPr>
      <w:r w:rsidRPr="00141874">
        <w:rPr>
          <w:rFonts w:ascii="Tahoma" w:hAnsi="Tahoma" w:cs="Tahoma"/>
          <w:noProof/>
          <w:lang w:eastAsia="fr-FR"/>
        </w:rPr>
        <w:drawing>
          <wp:anchor distT="0" distB="0" distL="114300" distR="114300" simplePos="0" relativeHeight="251660288" behindDoc="0" locked="0" layoutInCell="1" allowOverlap="1" wp14:anchorId="33A54DF3" wp14:editId="67AC4415">
            <wp:simplePos x="0" y="0"/>
            <wp:positionH relativeFrom="margin">
              <wp:posOffset>0</wp:posOffset>
            </wp:positionH>
            <wp:positionV relativeFrom="margin">
              <wp:posOffset>218440</wp:posOffset>
            </wp:positionV>
            <wp:extent cx="2007870" cy="1397000"/>
            <wp:effectExtent l="19050" t="0" r="0" b="0"/>
            <wp:wrapSquare wrapText="bothSides"/>
            <wp:docPr id="3" name="Image 1" descr="R:\Projet communication\Majdoline\Charte graphique 2015\Logo-CDG74-Haute-Def-valide-avec-slogan (5).jpg"/>
            <wp:cNvGraphicFramePr/>
            <a:graphic xmlns:a="http://schemas.openxmlformats.org/drawingml/2006/main">
              <a:graphicData uri="http://schemas.openxmlformats.org/drawingml/2006/picture">
                <pic:pic xmlns:pic="http://schemas.openxmlformats.org/drawingml/2006/picture">
                  <pic:nvPicPr>
                    <pic:cNvPr id="0" name="Picture 1" descr="R:\Projet communication\Majdoline\Charte graphique 2015\Logo-CDG74-Haute-Def-valide-avec-slogan (5).jpg"/>
                    <pic:cNvPicPr>
                      <a:picLocks noChangeAspect="1" noChangeArrowheads="1"/>
                    </pic:cNvPicPr>
                  </pic:nvPicPr>
                  <pic:blipFill>
                    <a:blip r:embed="rId8" cstate="print"/>
                    <a:srcRect/>
                    <a:stretch>
                      <a:fillRect/>
                    </a:stretch>
                  </pic:blipFill>
                  <pic:spPr bwMode="auto">
                    <a:xfrm>
                      <a:off x="0" y="0"/>
                      <a:ext cx="2007870" cy="1397000"/>
                    </a:xfrm>
                    <a:prstGeom prst="rect">
                      <a:avLst/>
                    </a:prstGeom>
                    <a:noFill/>
                    <a:ln w="9525">
                      <a:noFill/>
                      <a:miter lim="800000"/>
                      <a:headEnd/>
                      <a:tailEnd/>
                    </a:ln>
                  </pic:spPr>
                </pic:pic>
              </a:graphicData>
            </a:graphic>
          </wp:anchor>
        </w:drawing>
      </w:r>
    </w:p>
    <w:p w14:paraId="47E530FC" w14:textId="77777777" w:rsidR="00A61010" w:rsidRPr="00141874" w:rsidRDefault="00A61010" w:rsidP="00A61010">
      <w:pPr>
        <w:rPr>
          <w:rFonts w:ascii="Tahoma" w:hAnsi="Tahoma" w:cs="Tahoma"/>
          <w:b/>
          <w:sz w:val="24"/>
        </w:rPr>
      </w:pPr>
    </w:p>
    <w:p w14:paraId="3E94FDCD" w14:textId="77777777" w:rsidR="00AF3BCB" w:rsidRPr="00141874" w:rsidRDefault="00AF3BCB" w:rsidP="00A61010">
      <w:pPr>
        <w:spacing w:line="240" w:lineRule="auto"/>
        <w:rPr>
          <w:rFonts w:ascii="Tahoma" w:hAnsi="Tahoma" w:cs="Tahoma"/>
          <w:b/>
          <w:sz w:val="20"/>
          <w:szCs w:val="20"/>
        </w:rPr>
      </w:pPr>
    </w:p>
    <w:p w14:paraId="74D97B89" w14:textId="77777777" w:rsidR="00690F33" w:rsidRPr="00141874" w:rsidRDefault="00690F33" w:rsidP="00A61010">
      <w:pPr>
        <w:spacing w:line="240" w:lineRule="auto"/>
        <w:rPr>
          <w:rFonts w:ascii="Tahoma" w:hAnsi="Tahoma" w:cs="Tahoma"/>
          <w:b/>
          <w:sz w:val="20"/>
          <w:szCs w:val="20"/>
        </w:rPr>
      </w:pPr>
    </w:p>
    <w:p w14:paraId="56651D58" w14:textId="04D1D753" w:rsidR="00141874" w:rsidRDefault="00141874" w:rsidP="00A61010">
      <w:pPr>
        <w:spacing w:line="240" w:lineRule="auto"/>
        <w:rPr>
          <w:rFonts w:ascii="Tahoma" w:hAnsi="Tahoma" w:cs="Tahoma"/>
          <w:b/>
          <w:sz w:val="22"/>
          <w:szCs w:val="22"/>
          <w:highlight w:val="yellow"/>
        </w:rPr>
      </w:pPr>
    </w:p>
    <w:p w14:paraId="013E4A05" w14:textId="4DAA6481" w:rsidR="00B0005B" w:rsidRDefault="00B0005B" w:rsidP="00A61010">
      <w:pPr>
        <w:spacing w:line="240" w:lineRule="auto"/>
        <w:rPr>
          <w:rFonts w:ascii="Tahoma" w:hAnsi="Tahoma" w:cs="Tahoma"/>
          <w:b/>
          <w:sz w:val="22"/>
          <w:szCs w:val="22"/>
          <w:highlight w:val="yellow"/>
        </w:rPr>
      </w:pPr>
    </w:p>
    <w:p w14:paraId="1CDE75AB" w14:textId="77777777" w:rsidR="00B0005B" w:rsidRDefault="00B0005B" w:rsidP="00A61010">
      <w:pPr>
        <w:spacing w:line="240" w:lineRule="auto"/>
        <w:rPr>
          <w:rFonts w:ascii="Tahoma" w:hAnsi="Tahoma" w:cs="Tahoma"/>
          <w:b/>
          <w:sz w:val="22"/>
          <w:szCs w:val="22"/>
          <w:highlight w:val="yellow"/>
        </w:rPr>
      </w:pPr>
    </w:p>
    <w:p w14:paraId="0023AC70" w14:textId="77777777" w:rsidR="007B4FA0" w:rsidRDefault="007B4FA0" w:rsidP="00A61010">
      <w:pPr>
        <w:spacing w:line="240" w:lineRule="auto"/>
        <w:rPr>
          <w:rFonts w:ascii="Tahoma" w:hAnsi="Tahoma" w:cs="Tahoma"/>
          <w:b/>
          <w:sz w:val="22"/>
          <w:szCs w:val="22"/>
          <w:highlight w:val="yellow"/>
        </w:rPr>
      </w:pPr>
    </w:p>
    <w:p w14:paraId="739AF4A4" w14:textId="77777777" w:rsidR="00690F33" w:rsidRPr="007B4FA0" w:rsidRDefault="00690F33" w:rsidP="00A61010">
      <w:pPr>
        <w:spacing w:line="240" w:lineRule="auto"/>
        <w:rPr>
          <w:rFonts w:ascii="Tahoma" w:hAnsi="Tahoma" w:cs="Tahoma"/>
          <w:b/>
          <w:sz w:val="22"/>
          <w:szCs w:val="22"/>
        </w:rPr>
      </w:pPr>
      <w:r w:rsidRPr="007B4FA0">
        <w:rPr>
          <w:rFonts w:ascii="Tahoma" w:hAnsi="Tahoma" w:cs="Tahoma"/>
          <w:b/>
          <w:sz w:val="22"/>
          <w:szCs w:val="22"/>
        </w:rPr>
        <w:t>Vu la loi n°84-53</w:t>
      </w:r>
      <w:r w:rsidR="007B4FA0" w:rsidRPr="007B4FA0">
        <w:rPr>
          <w:rFonts w:ascii="Tahoma" w:hAnsi="Tahoma" w:cs="Tahoma"/>
          <w:b/>
          <w:sz w:val="22"/>
          <w:szCs w:val="22"/>
        </w:rPr>
        <w:t xml:space="preserve"> du 26 janvier 1984 portant dispositions statutaires relatives à la fonction publique territoriale </w:t>
      </w:r>
      <w:r w:rsidRPr="007B4FA0">
        <w:rPr>
          <w:rFonts w:ascii="Tahoma" w:hAnsi="Tahoma" w:cs="Tahoma"/>
          <w:b/>
          <w:sz w:val="22"/>
          <w:szCs w:val="22"/>
        </w:rPr>
        <w:t xml:space="preserve">et notamment son article </w:t>
      </w:r>
      <w:r w:rsidR="007B4FA0" w:rsidRPr="007B4FA0">
        <w:rPr>
          <w:rFonts w:ascii="Tahoma" w:hAnsi="Tahoma" w:cs="Tahoma"/>
          <w:b/>
          <w:sz w:val="22"/>
          <w:szCs w:val="22"/>
        </w:rPr>
        <w:t>25,</w:t>
      </w:r>
    </w:p>
    <w:p w14:paraId="1AA81B03" w14:textId="77777777" w:rsidR="00690F33" w:rsidRPr="00141874" w:rsidRDefault="00690F33" w:rsidP="00A61010">
      <w:pPr>
        <w:spacing w:line="240" w:lineRule="auto"/>
        <w:rPr>
          <w:rFonts w:ascii="Tahoma" w:hAnsi="Tahoma" w:cs="Tahoma"/>
          <w:b/>
          <w:sz w:val="22"/>
          <w:szCs w:val="22"/>
          <w:highlight w:val="yellow"/>
        </w:rPr>
      </w:pPr>
    </w:p>
    <w:p w14:paraId="3E210573" w14:textId="77777777" w:rsidR="007B4FA0" w:rsidRDefault="000368B0" w:rsidP="00A61010">
      <w:pPr>
        <w:spacing w:line="240" w:lineRule="auto"/>
        <w:rPr>
          <w:rFonts w:ascii="Tahoma" w:hAnsi="Tahoma" w:cs="Tahoma"/>
          <w:b/>
          <w:sz w:val="22"/>
          <w:szCs w:val="22"/>
        </w:rPr>
      </w:pPr>
      <w:r>
        <w:rPr>
          <w:rFonts w:ascii="Tahoma" w:hAnsi="Tahoma" w:cs="Tahoma"/>
          <w:b/>
          <w:sz w:val="22"/>
          <w:szCs w:val="22"/>
        </w:rPr>
        <w:t>Vu le d</w:t>
      </w:r>
      <w:r w:rsidR="000461C7">
        <w:rPr>
          <w:rFonts w:ascii="Tahoma" w:hAnsi="Tahoma" w:cs="Tahoma"/>
          <w:b/>
          <w:sz w:val="22"/>
          <w:szCs w:val="22"/>
        </w:rPr>
        <w:t>écret n°</w:t>
      </w:r>
      <w:r w:rsidR="007B4FA0" w:rsidRPr="007B4FA0">
        <w:rPr>
          <w:rFonts w:ascii="Tahoma" w:hAnsi="Tahoma" w:cs="Tahoma"/>
          <w:b/>
          <w:sz w:val="22"/>
          <w:szCs w:val="22"/>
        </w:rPr>
        <w:t>2011-1474 du 8 novembre 2011 relatif à la participation des collectivités territoriales et de leurs établissements publics au financement de la protection sociale complémentaire de leurs agents</w:t>
      </w:r>
      <w:r w:rsidR="007B4FA0">
        <w:rPr>
          <w:rFonts w:ascii="Tahoma" w:hAnsi="Tahoma" w:cs="Tahoma"/>
          <w:b/>
          <w:sz w:val="22"/>
          <w:szCs w:val="22"/>
        </w:rPr>
        <w:t>,</w:t>
      </w:r>
    </w:p>
    <w:p w14:paraId="13DAF1EF" w14:textId="77777777" w:rsidR="007B4FA0" w:rsidRDefault="007B4FA0" w:rsidP="00A61010">
      <w:pPr>
        <w:spacing w:line="240" w:lineRule="auto"/>
        <w:rPr>
          <w:rFonts w:ascii="Tahoma" w:hAnsi="Tahoma" w:cs="Tahoma"/>
          <w:b/>
          <w:sz w:val="22"/>
          <w:szCs w:val="22"/>
        </w:rPr>
      </w:pPr>
    </w:p>
    <w:p w14:paraId="5180198B" w14:textId="77777777" w:rsidR="00690F33" w:rsidRPr="00141874" w:rsidRDefault="00690F33" w:rsidP="00A61010">
      <w:pPr>
        <w:spacing w:line="240" w:lineRule="auto"/>
        <w:rPr>
          <w:rFonts w:ascii="Tahoma" w:hAnsi="Tahoma" w:cs="Tahoma"/>
          <w:b/>
          <w:sz w:val="22"/>
          <w:szCs w:val="22"/>
        </w:rPr>
      </w:pPr>
      <w:r w:rsidRPr="000368B0">
        <w:rPr>
          <w:rFonts w:ascii="Tahoma" w:hAnsi="Tahoma" w:cs="Tahoma"/>
          <w:b/>
          <w:sz w:val="22"/>
          <w:szCs w:val="22"/>
        </w:rPr>
        <w:t xml:space="preserve">Vu la convention de participation </w:t>
      </w:r>
      <w:r w:rsidRPr="00CA4712">
        <w:rPr>
          <w:rFonts w:ascii="Tahoma" w:hAnsi="Tahoma" w:cs="Tahoma"/>
          <w:b/>
          <w:sz w:val="22"/>
          <w:szCs w:val="22"/>
        </w:rPr>
        <w:t xml:space="preserve">souscrite entre le CDG74 et </w:t>
      </w:r>
      <w:r w:rsidR="00FB0545">
        <w:rPr>
          <w:rFonts w:ascii="Tahoma" w:hAnsi="Tahoma" w:cs="Tahoma"/>
          <w:b/>
          <w:sz w:val="22"/>
          <w:szCs w:val="22"/>
        </w:rPr>
        <w:t>le groupement conjoint VYV/MNT/MGEN</w:t>
      </w:r>
      <w:r w:rsidR="000461C7">
        <w:rPr>
          <w:rFonts w:ascii="Tahoma" w:hAnsi="Tahoma" w:cs="Tahoma"/>
          <w:b/>
          <w:sz w:val="22"/>
          <w:szCs w:val="22"/>
        </w:rPr>
        <w:t>,</w:t>
      </w:r>
    </w:p>
    <w:p w14:paraId="3A60BA6B" w14:textId="77777777" w:rsidR="00690F33" w:rsidRPr="00141874" w:rsidRDefault="00690F33" w:rsidP="00A61010">
      <w:pPr>
        <w:spacing w:line="240" w:lineRule="auto"/>
        <w:rPr>
          <w:rFonts w:ascii="Tahoma" w:hAnsi="Tahoma" w:cs="Tahoma"/>
          <w:b/>
          <w:sz w:val="22"/>
          <w:szCs w:val="22"/>
        </w:rPr>
      </w:pPr>
    </w:p>
    <w:p w14:paraId="2BDC7B4E" w14:textId="77777777" w:rsidR="00690F33" w:rsidRPr="00141874" w:rsidRDefault="00690F33" w:rsidP="00A61010">
      <w:pPr>
        <w:spacing w:line="240" w:lineRule="auto"/>
        <w:rPr>
          <w:rFonts w:ascii="Tahoma" w:hAnsi="Tahoma" w:cs="Tahoma"/>
          <w:b/>
          <w:sz w:val="22"/>
          <w:szCs w:val="22"/>
        </w:rPr>
      </w:pPr>
      <w:r w:rsidRPr="00141874">
        <w:rPr>
          <w:rFonts w:ascii="Tahoma" w:hAnsi="Tahoma" w:cs="Tahoma"/>
          <w:b/>
          <w:sz w:val="22"/>
          <w:szCs w:val="22"/>
        </w:rPr>
        <w:t>LA PRESENTE CONVENTION EST SOUSCRITE ENTRE :</w:t>
      </w:r>
    </w:p>
    <w:p w14:paraId="44733069" w14:textId="77777777" w:rsidR="00690F33" w:rsidRPr="00141874" w:rsidRDefault="00690F33" w:rsidP="00A61010">
      <w:pPr>
        <w:spacing w:line="240" w:lineRule="auto"/>
        <w:rPr>
          <w:rFonts w:ascii="Tahoma" w:hAnsi="Tahoma" w:cs="Tahoma"/>
          <w:b/>
          <w:sz w:val="22"/>
          <w:szCs w:val="22"/>
        </w:rPr>
      </w:pPr>
    </w:p>
    <w:p w14:paraId="6B4ED9C1" w14:textId="77777777" w:rsidR="00A61010" w:rsidRPr="00A5643B" w:rsidRDefault="000461C7" w:rsidP="00A5643B">
      <w:pPr>
        <w:spacing w:line="240" w:lineRule="auto"/>
        <w:rPr>
          <w:rFonts w:ascii="Tahoma" w:hAnsi="Tahoma" w:cs="Tahoma"/>
          <w:sz w:val="22"/>
        </w:rPr>
      </w:pPr>
      <w:r>
        <w:rPr>
          <w:rFonts w:ascii="Tahoma" w:hAnsi="Tahoma" w:cs="Tahoma"/>
          <w:sz w:val="22"/>
        </w:rPr>
        <w:t>-</w:t>
      </w:r>
      <w:r w:rsidR="00A5643B" w:rsidRPr="00A5643B">
        <w:rPr>
          <w:rFonts w:ascii="Tahoma" w:hAnsi="Tahoma" w:cs="Tahoma"/>
          <w:sz w:val="22"/>
        </w:rPr>
        <w:tab/>
      </w:r>
      <w:r w:rsidR="00141874" w:rsidRPr="00A5643B">
        <w:rPr>
          <w:rFonts w:ascii="Tahoma" w:hAnsi="Tahoma" w:cs="Tahoma"/>
          <w:sz w:val="22"/>
        </w:rPr>
        <w:t>Le Centre de Gestion de la Fonction Publique Territoriale de la Haute-Savoie, sis Maison de la Fonction Publique Territoriale – 55 rue du Val Vert – CS 30 138 – SEYNOD 74601 ANNECY, représenté par Monsieur Antoine de MENTHON, Président, agissant en vertu de la délibération n°2014-04-36 du Conseil d’Administration en date du 3 juillet 2014, conformément aux articles 27 et 28 du décret n°85-643 du 26 juin 1985 et dans le cadre de l’article 25 de la loi n°84-53 du 26 janvier 1984 concernant les attributions des Centres de Gestion, ci-après désigné : « le CDG 74 », d’autre part,</w:t>
      </w:r>
    </w:p>
    <w:p w14:paraId="4B04A943" w14:textId="77777777" w:rsidR="00A61010" w:rsidRPr="00A5643B" w:rsidRDefault="00A61010" w:rsidP="00141874">
      <w:pPr>
        <w:tabs>
          <w:tab w:val="left" w:pos="6237"/>
        </w:tabs>
        <w:rPr>
          <w:rFonts w:ascii="Tahoma" w:hAnsi="Tahoma" w:cs="Tahoma"/>
          <w:sz w:val="28"/>
          <w:szCs w:val="22"/>
        </w:rPr>
      </w:pPr>
    </w:p>
    <w:p w14:paraId="0CDE5BC4" w14:textId="77777777" w:rsidR="00A61010" w:rsidRPr="00141874" w:rsidRDefault="00141874" w:rsidP="00A61010">
      <w:pPr>
        <w:spacing w:line="240" w:lineRule="auto"/>
        <w:rPr>
          <w:rFonts w:ascii="Tahoma" w:hAnsi="Tahoma" w:cs="Tahoma"/>
          <w:b/>
          <w:sz w:val="22"/>
          <w:szCs w:val="22"/>
        </w:rPr>
      </w:pPr>
      <w:r>
        <w:rPr>
          <w:rFonts w:ascii="Tahoma" w:hAnsi="Tahoma" w:cs="Tahoma"/>
          <w:b/>
          <w:sz w:val="22"/>
          <w:szCs w:val="22"/>
        </w:rPr>
        <w:t>ET</w:t>
      </w:r>
    </w:p>
    <w:p w14:paraId="49731B4F" w14:textId="77777777" w:rsidR="00A61010" w:rsidRPr="00141874" w:rsidRDefault="00A61010" w:rsidP="00A61010">
      <w:pPr>
        <w:spacing w:line="240" w:lineRule="auto"/>
        <w:rPr>
          <w:rFonts w:ascii="Tahoma" w:hAnsi="Tahoma" w:cs="Tahoma"/>
          <w:b/>
          <w:sz w:val="22"/>
          <w:szCs w:val="22"/>
        </w:rPr>
      </w:pPr>
    </w:p>
    <w:p w14:paraId="5FEB8CE0" w14:textId="77777777" w:rsidR="00A61010" w:rsidRPr="00141874" w:rsidRDefault="00141874" w:rsidP="00141874">
      <w:pPr>
        <w:spacing w:line="240" w:lineRule="auto"/>
        <w:rPr>
          <w:rFonts w:ascii="Tahoma" w:hAnsi="Tahoma" w:cs="Tahoma"/>
          <w:sz w:val="22"/>
          <w:szCs w:val="22"/>
        </w:rPr>
      </w:pPr>
      <w:r w:rsidRPr="00141874">
        <w:rPr>
          <w:rFonts w:ascii="Tahoma" w:hAnsi="Tahoma" w:cs="Tahoma"/>
          <w:sz w:val="22"/>
          <w:szCs w:val="22"/>
        </w:rPr>
        <w:t>-</w:t>
      </w:r>
      <w:r>
        <w:rPr>
          <w:rFonts w:ascii="Tahoma" w:hAnsi="Tahoma" w:cs="Tahoma"/>
        </w:rPr>
        <w:tab/>
      </w:r>
      <w:r w:rsidRPr="00141874">
        <w:rPr>
          <w:rFonts w:ascii="Tahoma" w:hAnsi="Tahoma" w:cs="Tahoma"/>
          <w:sz w:val="22"/>
          <w:szCs w:val="22"/>
        </w:rPr>
        <w:t>Le</w:t>
      </w:r>
      <w:r>
        <w:rPr>
          <w:rFonts w:ascii="Tahoma" w:hAnsi="Tahoma" w:cs="Tahoma"/>
          <w:sz w:val="22"/>
          <w:szCs w:val="22"/>
        </w:rPr>
        <w:t>/la</w:t>
      </w:r>
      <w:r w:rsidRPr="00141874">
        <w:rPr>
          <w:rFonts w:ascii="Tahoma" w:hAnsi="Tahoma" w:cs="Tahoma"/>
          <w:sz w:val="22"/>
          <w:szCs w:val="22"/>
        </w:rPr>
        <w:t xml:space="preserve"> </w:t>
      </w:r>
      <w:r w:rsidRPr="00141874">
        <w:rPr>
          <w:rFonts w:ascii="Tahoma" w:hAnsi="Tahoma" w:cs="Tahoma"/>
          <w:sz w:val="22"/>
          <w:szCs w:val="22"/>
          <w:highlight w:val="yellow"/>
        </w:rPr>
        <w:t>XXX</w:t>
      </w:r>
      <w:r w:rsidRPr="00141874">
        <w:rPr>
          <w:rFonts w:ascii="Tahoma" w:hAnsi="Tahoma" w:cs="Tahoma"/>
          <w:sz w:val="22"/>
          <w:szCs w:val="22"/>
        </w:rPr>
        <w:t xml:space="preserve"> (</w:t>
      </w:r>
      <w:r w:rsidRPr="00141874">
        <w:rPr>
          <w:rFonts w:ascii="Tahoma" w:hAnsi="Tahoma" w:cs="Tahoma"/>
          <w:sz w:val="22"/>
          <w:szCs w:val="22"/>
          <w:highlight w:val="yellow"/>
        </w:rPr>
        <w:t>ADRESSE</w:t>
      </w:r>
      <w:r w:rsidRPr="00141874">
        <w:rPr>
          <w:rFonts w:ascii="Tahoma" w:hAnsi="Tahoma" w:cs="Tahoma"/>
          <w:sz w:val="22"/>
          <w:szCs w:val="22"/>
        </w:rPr>
        <w:t xml:space="preserve">), représentée par </w:t>
      </w:r>
      <w:r w:rsidRPr="00141874">
        <w:rPr>
          <w:rFonts w:ascii="Tahoma" w:hAnsi="Tahoma" w:cs="Tahoma"/>
          <w:sz w:val="22"/>
          <w:szCs w:val="22"/>
          <w:highlight w:val="yellow"/>
        </w:rPr>
        <w:t>Madame/Monsieur XXX</w:t>
      </w:r>
      <w:r w:rsidRPr="00141874">
        <w:rPr>
          <w:rFonts w:ascii="Tahoma" w:hAnsi="Tahoma" w:cs="Tahoma"/>
          <w:sz w:val="22"/>
          <w:szCs w:val="22"/>
        </w:rPr>
        <w:t xml:space="preserve">, </w:t>
      </w:r>
      <w:r w:rsidRPr="00141874">
        <w:rPr>
          <w:rFonts w:ascii="Tahoma" w:hAnsi="Tahoma" w:cs="Tahoma"/>
          <w:sz w:val="22"/>
          <w:szCs w:val="22"/>
          <w:highlight w:val="yellow"/>
        </w:rPr>
        <w:t>Maire/Président</w:t>
      </w:r>
      <w:r w:rsidRPr="00141874">
        <w:rPr>
          <w:rFonts w:ascii="Tahoma" w:hAnsi="Tahoma" w:cs="Tahoma"/>
          <w:sz w:val="22"/>
          <w:szCs w:val="22"/>
        </w:rPr>
        <w:t xml:space="preserve">, agissant par délégation ou en vertu de la délibération du Conseil </w:t>
      </w:r>
      <w:r w:rsidRPr="00141874">
        <w:rPr>
          <w:rFonts w:ascii="Tahoma" w:hAnsi="Tahoma" w:cs="Tahoma"/>
          <w:sz w:val="22"/>
          <w:szCs w:val="22"/>
          <w:highlight w:val="yellow"/>
        </w:rPr>
        <w:t>XXX</w:t>
      </w:r>
      <w:r w:rsidRPr="00141874">
        <w:rPr>
          <w:rFonts w:ascii="Tahoma" w:hAnsi="Tahoma" w:cs="Tahoma"/>
          <w:sz w:val="22"/>
          <w:szCs w:val="22"/>
        </w:rPr>
        <w:t xml:space="preserve"> en date du </w:t>
      </w:r>
      <w:r w:rsidRPr="00141874">
        <w:rPr>
          <w:rFonts w:ascii="Tahoma" w:hAnsi="Tahoma" w:cs="Tahoma"/>
          <w:sz w:val="22"/>
          <w:szCs w:val="22"/>
          <w:highlight w:val="yellow"/>
        </w:rPr>
        <w:t>XXX</w:t>
      </w:r>
      <w:r w:rsidRPr="00141874">
        <w:rPr>
          <w:rFonts w:ascii="Tahoma" w:hAnsi="Tahoma" w:cs="Tahoma"/>
          <w:sz w:val="22"/>
          <w:szCs w:val="22"/>
        </w:rPr>
        <w:t xml:space="preserve">, et ci-après désignée : « la collectivité », </w:t>
      </w:r>
      <w:r>
        <w:rPr>
          <w:rFonts w:ascii="Tahoma" w:hAnsi="Tahoma" w:cs="Tahoma"/>
          <w:sz w:val="22"/>
          <w:szCs w:val="22"/>
        </w:rPr>
        <w:t>d’autre</w:t>
      </w:r>
      <w:r w:rsidRPr="00141874">
        <w:rPr>
          <w:rFonts w:ascii="Tahoma" w:hAnsi="Tahoma" w:cs="Tahoma"/>
          <w:sz w:val="22"/>
          <w:szCs w:val="22"/>
        </w:rPr>
        <w:t xml:space="preserve"> part,</w:t>
      </w:r>
      <w:r>
        <w:rPr>
          <w:rFonts w:ascii="Tahoma" w:hAnsi="Tahoma" w:cs="Tahoma"/>
          <w:sz w:val="22"/>
          <w:szCs w:val="22"/>
        </w:rPr>
        <w:t xml:space="preserve"> </w:t>
      </w:r>
    </w:p>
    <w:p w14:paraId="6A884BC8" w14:textId="77777777" w:rsidR="00AF3BCB" w:rsidRPr="00141874" w:rsidRDefault="00AF3BCB" w:rsidP="00A61010">
      <w:pPr>
        <w:rPr>
          <w:rFonts w:ascii="Tahoma" w:hAnsi="Tahoma" w:cs="Tahoma"/>
          <w:b/>
          <w:sz w:val="22"/>
          <w:szCs w:val="22"/>
        </w:rPr>
      </w:pPr>
    </w:p>
    <w:p w14:paraId="09D032C4" w14:textId="77777777" w:rsidR="00A61010" w:rsidRPr="00141874" w:rsidRDefault="007B4FA0" w:rsidP="00A61010">
      <w:pPr>
        <w:spacing w:line="240" w:lineRule="auto"/>
        <w:rPr>
          <w:rFonts w:ascii="Tahoma" w:hAnsi="Tahoma" w:cs="Tahoma"/>
          <w:b/>
          <w:sz w:val="22"/>
          <w:szCs w:val="22"/>
        </w:rPr>
      </w:pPr>
      <w:r>
        <w:rPr>
          <w:rFonts w:ascii="Tahoma" w:hAnsi="Tahoma" w:cs="Tahoma"/>
          <w:b/>
          <w:sz w:val="22"/>
          <w:szCs w:val="22"/>
        </w:rPr>
        <w:t>IL A ETE CON</w:t>
      </w:r>
      <w:r w:rsidR="00CA4712">
        <w:rPr>
          <w:rFonts w:ascii="Tahoma" w:hAnsi="Tahoma" w:cs="Tahoma"/>
          <w:b/>
          <w:sz w:val="22"/>
          <w:szCs w:val="22"/>
        </w:rPr>
        <w:t>V</w:t>
      </w:r>
      <w:r>
        <w:rPr>
          <w:rFonts w:ascii="Tahoma" w:hAnsi="Tahoma" w:cs="Tahoma"/>
          <w:b/>
          <w:sz w:val="22"/>
          <w:szCs w:val="22"/>
        </w:rPr>
        <w:t>ENU CE QUI SUIT :</w:t>
      </w:r>
    </w:p>
    <w:p w14:paraId="13384D64" w14:textId="77777777" w:rsidR="00A61010" w:rsidRPr="00141874" w:rsidRDefault="00A61010" w:rsidP="00A61010">
      <w:pPr>
        <w:spacing w:line="240" w:lineRule="auto"/>
        <w:rPr>
          <w:rFonts w:ascii="Tahoma" w:hAnsi="Tahoma" w:cs="Tahoma"/>
          <w:sz w:val="22"/>
          <w:szCs w:val="22"/>
        </w:rPr>
      </w:pPr>
    </w:p>
    <w:p w14:paraId="71FDB40A" w14:textId="77777777" w:rsidR="00A61010" w:rsidRPr="00141874" w:rsidRDefault="00A61010" w:rsidP="00A61010">
      <w:pPr>
        <w:pStyle w:val="Titre1"/>
        <w:numPr>
          <w:ilvl w:val="0"/>
          <w:numId w:val="0"/>
        </w:numPr>
        <w:pBdr>
          <w:bottom w:val="none" w:sz="0" w:space="0" w:color="auto"/>
        </w:pBdr>
        <w:spacing w:before="0" w:after="0" w:line="240" w:lineRule="auto"/>
        <w:rPr>
          <w:rFonts w:ascii="Tahoma" w:hAnsi="Tahoma" w:cs="Tahoma"/>
          <w:smallCaps w:val="0"/>
          <w:kern w:val="20"/>
          <w:sz w:val="22"/>
          <w:szCs w:val="22"/>
          <w:u w:val="single"/>
        </w:rPr>
      </w:pPr>
      <w:r w:rsidRPr="00141874">
        <w:rPr>
          <w:rFonts w:ascii="Tahoma" w:hAnsi="Tahoma" w:cs="Tahoma"/>
          <w:smallCaps w:val="0"/>
          <w:kern w:val="20"/>
          <w:sz w:val="22"/>
          <w:szCs w:val="22"/>
          <w:u w:val="single"/>
        </w:rPr>
        <w:t xml:space="preserve">Article 1 : Objet de la présente convention </w:t>
      </w:r>
    </w:p>
    <w:p w14:paraId="2CF0E51C" w14:textId="77777777" w:rsidR="00A61010" w:rsidRPr="00141874" w:rsidRDefault="00A61010" w:rsidP="00A61010">
      <w:pPr>
        <w:spacing w:line="240" w:lineRule="auto"/>
        <w:rPr>
          <w:rFonts w:ascii="Tahoma" w:hAnsi="Tahoma" w:cs="Tahoma"/>
          <w:sz w:val="22"/>
          <w:szCs w:val="22"/>
        </w:rPr>
      </w:pPr>
    </w:p>
    <w:p w14:paraId="30923837" w14:textId="77777777" w:rsidR="00A61010" w:rsidRPr="00141874" w:rsidRDefault="00A61010" w:rsidP="00A61010">
      <w:pPr>
        <w:spacing w:line="240" w:lineRule="auto"/>
        <w:rPr>
          <w:rFonts w:ascii="Tahoma" w:hAnsi="Tahoma" w:cs="Tahoma"/>
          <w:sz w:val="22"/>
          <w:szCs w:val="22"/>
        </w:rPr>
      </w:pPr>
      <w:r w:rsidRPr="00141874">
        <w:rPr>
          <w:rFonts w:ascii="Tahoma" w:hAnsi="Tahoma" w:cs="Tahoma"/>
          <w:sz w:val="22"/>
          <w:szCs w:val="22"/>
        </w:rPr>
        <w:t xml:space="preserve">La présente convention a pour objet </w:t>
      </w:r>
      <w:r w:rsidR="00A5643B">
        <w:rPr>
          <w:rFonts w:ascii="Tahoma" w:hAnsi="Tahoma" w:cs="Tahoma"/>
          <w:sz w:val="22"/>
          <w:szCs w:val="22"/>
        </w:rPr>
        <w:t xml:space="preserve">de fixer </w:t>
      </w:r>
      <w:r w:rsidRPr="00141874">
        <w:rPr>
          <w:rFonts w:ascii="Tahoma" w:hAnsi="Tahoma" w:cs="Tahoma"/>
          <w:sz w:val="22"/>
          <w:szCs w:val="22"/>
        </w:rPr>
        <w:t>les modalités de l’adhésion de la collectivité à la convention de participation souscrite par le CDG</w:t>
      </w:r>
      <w:r w:rsidR="00974F81" w:rsidRPr="00141874">
        <w:rPr>
          <w:rFonts w:ascii="Tahoma" w:hAnsi="Tahoma" w:cs="Tahoma"/>
          <w:sz w:val="22"/>
          <w:szCs w:val="22"/>
        </w:rPr>
        <w:t>74</w:t>
      </w:r>
      <w:r w:rsidRPr="00141874">
        <w:rPr>
          <w:rFonts w:ascii="Tahoma" w:hAnsi="Tahoma" w:cs="Tahoma"/>
          <w:sz w:val="22"/>
          <w:szCs w:val="22"/>
        </w:rPr>
        <w:t>, qui lui permet de faire bénéficier à ses agents d’une garant</w:t>
      </w:r>
      <w:r w:rsidR="000461C7">
        <w:rPr>
          <w:rFonts w:ascii="Tahoma" w:hAnsi="Tahoma" w:cs="Tahoma"/>
          <w:sz w:val="22"/>
          <w:szCs w:val="22"/>
        </w:rPr>
        <w:t>ie de prévoyance complémentaire.</w:t>
      </w:r>
    </w:p>
    <w:p w14:paraId="74837609" w14:textId="77777777" w:rsidR="00A61010" w:rsidRPr="00141874" w:rsidRDefault="00A61010" w:rsidP="00A61010">
      <w:pPr>
        <w:spacing w:line="240" w:lineRule="auto"/>
        <w:rPr>
          <w:rFonts w:ascii="Tahoma" w:hAnsi="Tahoma" w:cs="Tahoma"/>
          <w:sz w:val="22"/>
          <w:szCs w:val="22"/>
        </w:rPr>
      </w:pPr>
    </w:p>
    <w:p w14:paraId="72543239" w14:textId="77777777" w:rsidR="00A61010" w:rsidRDefault="00A61010" w:rsidP="00A61010">
      <w:pPr>
        <w:spacing w:line="240" w:lineRule="auto"/>
        <w:rPr>
          <w:rFonts w:ascii="Tahoma" w:hAnsi="Tahoma" w:cs="Tahoma"/>
          <w:sz w:val="22"/>
          <w:szCs w:val="22"/>
        </w:rPr>
      </w:pPr>
      <w:r w:rsidRPr="00141874">
        <w:rPr>
          <w:rFonts w:ascii="Tahoma" w:hAnsi="Tahoma" w:cs="Tahoma"/>
          <w:sz w:val="22"/>
          <w:szCs w:val="22"/>
        </w:rPr>
        <w:t xml:space="preserve">L’adhésion de la collectivité à la </w:t>
      </w:r>
      <w:r w:rsidR="00006DB6">
        <w:rPr>
          <w:rFonts w:ascii="Tahoma" w:hAnsi="Tahoma" w:cs="Tahoma"/>
          <w:sz w:val="22"/>
          <w:szCs w:val="22"/>
        </w:rPr>
        <w:t xml:space="preserve">présente </w:t>
      </w:r>
      <w:r w:rsidRPr="00141874">
        <w:rPr>
          <w:rFonts w:ascii="Tahoma" w:hAnsi="Tahoma" w:cs="Tahoma"/>
          <w:sz w:val="22"/>
          <w:szCs w:val="22"/>
        </w:rPr>
        <w:t xml:space="preserve">convention </w:t>
      </w:r>
      <w:r w:rsidR="00006DB6" w:rsidRPr="00141874">
        <w:rPr>
          <w:rFonts w:ascii="Tahoma" w:hAnsi="Tahoma" w:cs="Tahoma"/>
          <w:sz w:val="22"/>
          <w:szCs w:val="22"/>
        </w:rPr>
        <w:t xml:space="preserve">emporte adhésion </w:t>
      </w:r>
      <w:r w:rsidR="00006DB6">
        <w:rPr>
          <w:rFonts w:ascii="Tahoma" w:hAnsi="Tahoma" w:cs="Tahoma"/>
          <w:sz w:val="22"/>
          <w:szCs w:val="22"/>
        </w:rPr>
        <w:t xml:space="preserve">à la convention </w:t>
      </w:r>
      <w:r w:rsidRPr="00141874">
        <w:rPr>
          <w:rFonts w:ascii="Tahoma" w:hAnsi="Tahoma" w:cs="Tahoma"/>
          <w:sz w:val="22"/>
          <w:szCs w:val="22"/>
        </w:rPr>
        <w:t xml:space="preserve">de participation </w:t>
      </w:r>
      <w:r w:rsidR="00974F81" w:rsidRPr="00141874">
        <w:rPr>
          <w:rFonts w:ascii="Tahoma" w:hAnsi="Tahoma" w:cs="Tahoma"/>
          <w:sz w:val="22"/>
          <w:szCs w:val="22"/>
        </w:rPr>
        <w:t>conclu</w:t>
      </w:r>
      <w:r w:rsidR="00006DB6">
        <w:rPr>
          <w:rFonts w:ascii="Tahoma" w:hAnsi="Tahoma" w:cs="Tahoma"/>
          <w:sz w:val="22"/>
          <w:szCs w:val="22"/>
        </w:rPr>
        <w:t>e</w:t>
      </w:r>
      <w:r w:rsidR="00974F81" w:rsidRPr="00141874">
        <w:rPr>
          <w:rFonts w:ascii="Tahoma" w:hAnsi="Tahoma" w:cs="Tahoma"/>
          <w:sz w:val="22"/>
          <w:szCs w:val="22"/>
        </w:rPr>
        <w:t xml:space="preserve"> entre le CDG74</w:t>
      </w:r>
      <w:r w:rsidRPr="00141874">
        <w:rPr>
          <w:rFonts w:ascii="Tahoma" w:hAnsi="Tahoma" w:cs="Tahoma"/>
          <w:sz w:val="22"/>
          <w:szCs w:val="22"/>
        </w:rPr>
        <w:t xml:space="preserve"> </w:t>
      </w:r>
      <w:r w:rsidR="00271D58" w:rsidRPr="00141874">
        <w:rPr>
          <w:rFonts w:ascii="Tahoma" w:hAnsi="Tahoma" w:cs="Tahoma"/>
          <w:sz w:val="22"/>
          <w:szCs w:val="22"/>
        </w:rPr>
        <w:t xml:space="preserve">et </w:t>
      </w:r>
      <w:r w:rsidR="00FB0545">
        <w:rPr>
          <w:rFonts w:ascii="Tahoma" w:hAnsi="Tahoma" w:cs="Tahoma"/>
          <w:sz w:val="22"/>
          <w:szCs w:val="22"/>
        </w:rPr>
        <w:t>le groupement conjoint VYV/MNT/MGEN</w:t>
      </w:r>
      <w:r w:rsidRPr="00141874">
        <w:rPr>
          <w:rFonts w:ascii="Tahoma" w:hAnsi="Tahoma" w:cs="Tahoma"/>
          <w:sz w:val="22"/>
          <w:szCs w:val="22"/>
        </w:rPr>
        <w:t>.</w:t>
      </w:r>
    </w:p>
    <w:p w14:paraId="2317B7C2" w14:textId="77777777" w:rsidR="000368B0" w:rsidRDefault="000368B0" w:rsidP="00A61010">
      <w:pPr>
        <w:spacing w:line="240" w:lineRule="auto"/>
        <w:rPr>
          <w:rFonts w:ascii="Tahoma" w:hAnsi="Tahoma" w:cs="Tahoma"/>
          <w:sz w:val="22"/>
          <w:szCs w:val="22"/>
        </w:rPr>
      </w:pPr>
    </w:p>
    <w:p w14:paraId="5FF15B7A" w14:textId="77777777" w:rsidR="000368B0" w:rsidRPr="00141874" w:rsidRDefault="000368B0" w:rsidP="00A61010">
      <w:pPr>
        <w:spacing w:line="240" w:lineRule="auto"/>
        <w:rPr>
          <w:rFonts w:ascii="Tahoma" w:hAnsi="Tahoma" w:cs="Tahoma"/>
          <w:sz w:val="22"/>
          <w:szCs w:val="22"/>
        </w:rPr>
      </w:pPr>
      <w:r>
        <w:rPr>
          <w:rFonts w:ascii="Tahoma" w:hAnsi="Tahoma" w:cs="Tahoma"/>
          <w:sz w:val="22"/>
          <w:szCs w:val="22"/>
        </w:rPr>
        <w:t>La présente convention sera annexée à cette convention de participation ainsi que la délibération ayant autorisé</w:t>
      </w:r>
      <w:r w:rsidR="00ED11A5">
        <w:rPr>
          <w:rFonts w:ascii="Tahoma" w:hAnsi="Tahoma" w:cs="Tahoma"/>
          <w:sz w:val="22"/>
          <w:szCs w:val="22"/>
        </w:rPr>
        <w:t>e</w:t>
      </w:r>
      <w:r>
        <w:rPr>
          <w:rFonts w:ascii="Tahoma" w:hAnsi="Tahoma" w:cs="Tahoma"/>
          <w:sz w:val="22"/>
          <w:szCs w:val="22"/>
        </w:rPr>
        <w:t xml:space="preserve"> cette adhésion.</w:t>
      </w:r>
    </w:p>
    <w:p w14:paraId="494F3488" w14:textId="77777777" w:rsidR="00A61010" w:rsidRPr="00141874" w:rsidRDefault="00A61010" w:rsidP="00A61010">
      <w:pPr>
        <w:rPr>
          <w:rFonts w:ascii="Tahoma" w:hAnsi="Tahoma" w:cs="Tahoma"/>
          <w:sz w:val="22"/>
          <w:szCs w:val="22"/>
        </w:rPr>
      </w:pPr>
    </w:p>
    <w:p w14:paraId="7E9F1DBE" w14:textId="77777777" w:rsidR="00A61010" w:rsidRPr="00141874" w:rsidRDefault="00A61010" w:rsidP="00A61010">
      <w:pPr>
        <w:pStyle w:val="Titre1"/>
        <w:numPr>
          <w:ilvl w:val="0"/>
          <w:numId w:val="0"/>
        </w:numPr>
        <w:pBdr>
          <w:bottom w:val="none" w:sz="0" w:space="0" w:color="auto"/>
        </w:pBdr>
        <w:spacing w:before="0" w:after="0" w:line="240" w:lineRule="auto"/>
        <w:rPr>
          <w:rFonts w:ascii="Tahoma" w:hAnsi="Tahoma" w:cs="Tahoma"/>
          <w:smallCaps w:val="0"/>
          <w:kern w:val="20"/>
          <w:sz w:val="22"/>
          <w:szCs w:val="22"/>
          <w:u w:val="single"/>
        </w:rPr>
      </w:pPr>
      <w:r w:rsidRPr="00141874">
        <w:rPr>
          <w:rFonts w:ascii="Tahoma" w:hAnsi="Tahoma" w:cs="Tahoma"/>
          <w:smallCaps w:val="0"/>
          <w:kern w:val="20"/>
          <w:sz w:val="22"/>
          <w:szCs w:val="22"/>
          <w:u w:val="single"/>
        </w:rPr>
        <w:t>Article 2 : Effet de l’adhésion</w:t>
      </w:r>
    </w:p>
    <w:p w14:paraId="39450825" w14:textId="77777777" w:rsidR="00A61010" w:rsidRPr="00141874" w:rsidRDefault="00A61010" w:rsidP="00A61010">
      <w:pPr>
        <w:spacing w:line="240" w:lineRule="auto"/>
        <w:rPr>
          <w:rFonts w:ascii="Tahoma" w:hAnsi="Tahoma" w:cs="Tahoma"/>
          <w:sz w:val="22"/>
          <w:szCs w:val="22"/>
        </w:rPr>
      </w:pPr>
    </w:p>
    <w:p w14:paraId="285652AD" w14:textId="77777777" w:rsidR="00A61010" w:rsidRPr="00141874" w:rsidRDefault="00A61010" w:rsidP="00A61010">
      <w:pPr>
        <w:suppressAutoHyphens w:val="0"/>
        <w:autoSpaceDE w:val="0"/>
        <w:autoSpaceDN w:val="0"/>
        <w:adjustRightInd w:val="0"/>
        <w:spacing w:line="240" w:lineRule="auto"/>
        <w:rPr>
          <w:rFonts w:ascii="Tahoma" w:hAnsi="Tahoma" w:cs="Tahoma"/>
          <w:sz w:val="22"/>
          <w:szCs w:val="22"/>
        </w:rPr>
      </w:pPr>
      <w:r w:rsidRPr="00141874">
        <w:rPr>
          <w:rFonts w:ascii="Tahoma" w:hAnsi="Tahoma" w:cs="Tahoma"/>
          <w:sz w:val="22"/>
          <w:szCs w:val="22"/>
        </w:rPr>
        <w:t>La présente convention prend effet</w:t>
      </w:r>
      <w:r w:rsidR="000368B0">
        <w:rPr>
          <w:rFonts w:ascii="Tahoma" w:hAnsi="Tahoma" w:cs="Tahoma"/>
          <w:sz w:val="22"/>
          <w:szCs w:val="22"/>
        </w:rPr>
        <w:t xml:space="preserve"> à compter du 1</w:t>
      </w:r>
      <w:r w:rsidR="000368B0" w:rsidRPr="000368B0">
        <w:rPr>
          <w:rFonts w:ascii="Tahoma" w:hAnsi="Tahoma" w:cs="Tahoma"/>
          <w:sz w:val="22"/>
          <w:szCs w:val="22"/>
          <w:vertAlign w:val="superscript"/>
        </w:rPr>
        <w:t>er</w:t>
      </w:r>
      <w:r w:rsidR="000368B0">
        <w:rPr>
          <w:rFonts w:ascii="Tahoma" w:hAnsi="Tahoma" w:cs="Tahoma"/>
          <w:sz w:val="22"/>
          <w:szCs w:val="22"/>
        </w:rPr>
        <w:t xml:space="preserve"> janvier 2020 ou à la date du ……</w:t>
      </w:r>
      <w:proofErr w:type="gramStart"/>
      <w:r w:rsidR="000368B0">
        <w:rPr>
          <w:rFonts w:ascii="Tahoma" w:hAnsi="Tahoma" w:cs="Tahoma"/>
          <w:sz w:val="22"/>
          <w:szCs w:val="22"/>
        </w:rPr>
        <w:t>…….</w:t>
      </w:r>
      <w:proofErr w:type="gramEnd"/>
      <w:r w:rsidR="000368B0">
        <w:rPr>
          <w:rFonts w:ascii="Tahoma" w:hAnsi="Tahoma" w:cs="Tahoma"/>
          <w:sz w:val="22"/>
          <w:szCs w:val="22"/>
        </w:rPr>
        <w:t xml:space="preserve">.………. </w:t>
      </w:r>
      <w:proofErr w:type="gramStart"/>
      <w:r w:rsidR="000368B0">
        <w:rPr>
          <w:rFonts w:ascii="Tahoma" w:hAnsi="Tahoma" w:cs="Tahoma"/>
          <w:sz w:val="22"/>
          <w:szCs w:val="22"/>
        </w:rPr>
        <w:t>en</w:t>
      </w:r>
      <w:proofErr w:type="gramEnd"/>
      <w:r w:rsidR="000368B0">
        <w:rPr>
          <w:rFonts w:ascii="Tahoma" w:hAnsi="Tahoma" w:cs="Tahoma"/>
          <w:sz w:val="22"/>
          <w:szCs w:val="22"/>
        </w:rPr>
        <w:t xml:space="preserve"> cas de signature postérieure </w:t>
      </w:r>
      <w:r w:rsidR="007B4FA0">
        <w:rPr>
          <w:rFonts w:ascii="Tahoma" w:hAnsi="Tahoma" w:cs="Tahoma"/>
          <w:sz w:val="22"/>
          <w:szCs w:val="22"/>
        </w:rPr>
        <w:t>et s’achève le 31 décembre 2025</w:t>
      </w:r>
      <w:r w:rsidRPr="00141874">
        <w:rPr>
          <w:rFonts w:ascii="Tahoma" w:hAnsi="Tahoma" w:cs="Tahoma"/>
          <w:sz w:val="22"/>
          <w:szCs w:val="22"/>
        </w:rPr>
        <w:t>, sauf en cas de résiliation anticipée d</w:t>
      </w:r>
      <w:r w:rsidR="00AB16EE">
        <w:rPr>
          <w:rFonts w:ascii="Tahoma" w:hAnsi="Tahoma" w:cs="Tahoma"/>
          <w:sz w:val="22"/>
          <w:szCs w:val="22"/>
        </w:rPr>
        <w:t>e la convention de participation</w:t>
      </w:r>
      <w:r w:rsidRPr="00141874">
        <w:rPr>
          <w:rFonts w:ascii="Tahoma" w:hAnsi="Tahoma" w:cs="Tahoma"/>
          <w:sz w:val="22"/>
          <w:szCs w:val="22"/>
        </w:rPr>
        <w:t xml:space="preserve">. </w:t>
      </w:r>
    </w:p>
    <w:p w14:paraId="12AE8B85" w14:textId="77777777" w:rsidR="00A61010" w:rsidRPr="00141874" w:rsidRDefault="00A61010" w:rsidP="00A61010">
      <w:pPr>
        <w:suppressAutoHyphens w:val="0"/>
        <w:autoSpaceDE w:val="0"/>
        <w:autoSpaceDN w:val="0"/>
        <w:adjustRightInd w:val="0"/>
        <w:spacing w:line="240" w:lineRule="auto"/>
        <w:rPr>
          <w:rFonts w:ascii="Tahoma" w:hAnsi="Tahoma" w:cs="Tahoma"/>
          <w:sz w:val="22"/>
          <w:szCs w:val="22"/>
        </w:rPr>
      </w:pPr>
    </w:p>
    <w:p w14:paraId="4D2B2A88" w14:textId="77777777" w:rsidR="00A61010" w:rsidRPr="00141874" w:rsidRDefault="00A61010" w:rsidP="00A61010">
      <w:pPr>
        <w:suppressAutoHyphens w:val="0"/>
        <w:autoSpaceDE w:val="0"/>
        <w:autoSpaceDN w:val="0"/>
        <w:adjustRightInd w:val="0"/>
        <w:spacing w:line="240" w:lineRule="auto"/>
        <w:rPr>
          <w:rFonts w:ascii="Tahoma" w:hAnsi="Tahoma" w:cs="Tahoma"/>
          <w:sz w:val="22"/>
          <w:szCs w:val="22"/>
        </w:rPr>
      </w:pPr>
      <w:r w:rsidRPr="00141874">
        <w:rPr>
          <w:rFonts w:ascii="Tahoma" w:hAnsi="Tahoma" w:cs="Tahoma"/>
          <w:sz w:val="22"/>
          <w:szCs w:val="22"/>
        </w:rPr>
        <w:t xml:space="preserve">En cas de prorogation </w:t>
      </w:r>
      <w:r w:rsidR="00ED11A5">
        <w:rPr>
          <w:rFonts w:ascii="Tahoma" w:hAnsi="Tahoma" w:cs="Tahoma"/>
          <w:sz w:val="22"/>
          <w:szCs w:val="22"/>
        </w:rPr>
        <w:t>de la convention de participation</w:t>
      </w:r>
      <w:r w:rsidRPr="00141874">
        <w:rPr>
          <w:rFonts w:ascii="Tahoma" w:hAnsi="Tahoma" w:cs="Tahoma"/>
          <w:sz w:val="22"/>
          <w:szCs w:val="22"/>
        </w:rPr>
        <w:t>, aux motifs d'intérêt général, pour une durée ne pouvant excéder 1 an, la présente convention sera prorogée d’autant.</w:t>
      </w:r>
    </w:p>
    <w:p w14:paraId="0C0B8C9C" w14:textId="77777777" w:rsidR="00A61010" w:rsidRPr="00141874" w:rsidRDefault="00A61010" w:rsidP="00A61010">
      <w:pPr>
        <w:suppressAutoHyphens w:val="0"/>
        <w:autoSpaceDE w:val="0"/>
        <w:autoSpaceDN w:val="0"/>
        <w:adjustRightInd w:val="0"/>
        <w:spacing w:line="240" w:lineRule="auto"/>
        <w:rPr>
          <w:rFonts w:ascii="Tahoma" w:hAnsi="Tahoma" w:cs="Tahoma"/>
          <w:sz w:val="22"/>
          <w:szCs w:val="22"/>
        </w:rPr>
      </w:pPr>
    </w:p>
    <w:p w14:paraId="321DF10C" w14:textId="77777777" w:rsidR="00A61010" w:rsidRPr="00141874" w:rsidRDefault="00A61010" w:rsidP="00A61010">
      <w:pPr>
        <w:suppressAutoHyphens w:val="0"/>
        <w:autoSpaceDE w:val="0"/>
        <w:autoSpaceDN w:val="0"/>
        <w:adjustRightInd w:val="0"/>
        <w:spacing w:line="240" w:lineRule="auto"/>
        <w:rPr>
          <w:rFonts w:ascii="Tahoma" w:hAnsi="Tahoma" w:cs="Tahoma"/>
          <w:sz w:val="22"/>
          <w:szCs w:val="22"/>
        </w:rPr>
      </w:pPr>
      <w:r w:rsidRPr="00141874">
        <w:rPr>
          <w:rFonts w:ascii="Tahoma" w:hAnsi="Tahoma" w:cs="Tahoma"/>
          <w:sz w:val="22"/>
          <w:szCs w:val="22"/>
        </w:rPr>
        <w:t>La présente adhésion est indissociable de la convention de participation souscrite par le CDG</w:t>
      </w:r>
      <w:r w:rsidR="00974F81" w:rsidRPr="00141874">
        <w:rPr>
          <w:rFonts w:ascii="Tahoma" w:hAnsi="Tahoma" w:cs="Tahoma"/>
          <w:sz w:val="22"/>
          <w:szCs w:val="22"/>
        </w:rPr>
        <w:t>74</w:t>
      </w:r>
      <w:r w:rsidRPr="00141874">
        <w:rPr>
          <w:rFonts w:ascii="Tahoma" w:hAnsi="Tahoma" w:cs="Tahoma"/>
          <w:sz w:val="22"/>
          <w:szCs w:val="22"/>
        </w:rPr>
        <w:t>.</w:t>
      </w:r>
    </w:p>
    <w:p w14:paraId="41B531ED" w14:textId="77777777" w:rsidR="00A61010" w:rsidRPr="00141874" w:rsidRDefault="00A61010" w:rsidP="00A61010">
      <w:pPr>
        <w:suppressAutoHyphens w:val="0"/>
        <w:autoSpaceDE w:val="0"/>
        <w:autoSpaceDN w:val="0"/>
        <w:adjustRightInd w:val="0"/>
        <w:spacing w:line="240" w:lineRule="auto"/>
        <w:rPr>
          <w:rFonts w:ascii="Tahoma" w:hAnsi="Tahoma" w:cs="Tahoma"/>
          <w:sz w:val="22"/>
          <w:szCs w:val="22"/>
        </w:rPr>
      </w:pPr>
    </w:p>
    <w:p w14:paraId="5F491F65" w14:textId="77777777" w:rsidR="00A61010" w:rsidRPr="00141874" w:rsidRDefault="00A61010" w:rsidP="00A61010">
      <w:pPr>
        <w:suppressAutoHyphens w:val="0"/>
        <w:autoSpaceDE w:val="0"/>
        <w:autoSpaceDN w:val="0"/>
        <w:adjustRightInd w:val="0"/>
        <w:spacing w:line="240" w:lineRule="auto"/>
        <w:rPr>
          <w:rFonts w:ascii="Tahoma" w:hAnsi="Tahoma" w:cs="Tahoma"/>
          <w:sz w:val="22"/>
          <w:szCs w:val="22"/>
        </w:rPr>
      </w:pPr>
      <w:r w:rsidRPr="00141874">
        <w:rPr>
          <w:rFonts w:ascii="Tahoma" w:hAnsi="Tahoma" w:cs="Tahoma"/>
          <w:sz w:val="22"/>
          <w:szCs w:val="22"/>
        </w:rPr>
        <w:t xml:space="preserve">Elle est associée au contrat proposé </w:t>
      </w:r>
      <w:r w:rsidR="00271D58" w:rsidRPr="00141874">
        <w:rPr>
          <w:rFonts w:ascii="Tahoma" w:hAnsi="Tahoma" w:cs="Tahoma"/>
          <w:sz w:val="22"/>
          <w:szCs w:val="22"/>
        </w:rPr>
        <w:t xml:space="preserve">par </w:t>
      </w:r>
      <w:r w:rsidR="00FB0545">
        <w:rPr>
          <w:rFonts w:ascii="Tahoma" w:hAnsi="Tahoma" w:cs="Tahoma"/>
          <w:sz w:val="22"/>
          <w:szCs w:val="22"/>
        </w:rPr>
        <w:t>le groupement conjoint VYV/MNT/MGEN</w:t>
      </w:r>
      <w:r w:rsidR="00FB0545" w:rsidRPr="00141874">
        <w:rPr>
          <w:rFonts w:ascii="Tahoma" w:hAnsi="Tahoma" w:cs="Tahoma"/>
          <w:sz w:val="22"/>
          <w:szCs w:val="22"/>
        </w:rPr>
        <w:t xml:space="preserve"> </w:t>
      </w:r>
      <w:r w:rsidRPr="00141874">
        <w:rPr>
          <w:rFonts w:ascii="Tahoma" w:hAnsi="Tahoma" w:cs="Tahoma"/>
          <w:sz w:val="22"/>
          <w:szCs w:val="22"/>
        </w:rPr>
        <w:t>dans le cadre de la consu</w:t>
      </w:r>
      <w:r w:rsidR="00974F81" w:rsidRPr="00141874">
        <w:rPr>
          <w:rFonts w:ascii="Tahoma" w:hAnsi="Tahoma" w:cs="Tahoma"/>
          <w:sz w:val="22"/>
          <w:szCs w:val="22"/>
        </w:rPr>
        <w:t>ltation et accepté par le CD</w:t>
      </w:r>
      <w:r w:rsidR="00A5643B">
        <w:rPr>
          <w:rFonts w:ascii="Tahoma" w:hAnsi="Tahoma" w:cs="Tahoma"/>
          <w:sz w:val="22"/>
          <w:szCs w:val="22"/>
        </w:rPr>
        <w:t>G</w:t>
      </w:r>
      <w:r w:rsidR="00974F81" w:rsidRPr="00141874">
        <w:rPr>
          <w:rFonts w:ascii="Tahoma" w:hAnsi="Tahoma" w:cs="Tahoma"/>
          <w:sz w:val="22"/>
          <w:szCs w:val="22"/>
        </w:rPr>
        <w:t>74</w:t>
      </w:r>
      <w:r w:rsidRPr="00141874">
        <w:rPr>
          <w:rFonts w:ascii="Tahoma" w:hAnsi="Tahoma" w:cs="Tahoma"/>
          <w:sz w:val="22"/>
          <w:szCs w:val="22"/>
        </w:rPr>
        <w:t>.</w:t>
      </w:r>
    </w:p>
    <w:p w14:paraId="13465EC7" w14:textId="77777777" w:rsidR="00A61010" w:rsidRPr="00141874" w:rsidRDefault="00A61010" w:rsidP="00A61010">
      <w:pPr>
        <w:suppressAutoHyphens w:val="0"/>
        <w:autoSpaceDE w:val="0"/>
        <w:autoSpaceDN w:val="0"/>
        <w:adjustRightInd w:val="0"/>
        <w:spacing w:line="240" w:lineRule="auto"/>
        <w:rPr>
          <w:rFonts w:ascii="Tahoma" w:hAnsi="Tahoma" w:cs="Tahoma"/>
          <w:sz w:val="22"/>
          <w:szCs w:val="22"/>
        </w:rPr>
      </w:pPr>
    </w:p>
    <w:p w14:paraId="0DAEC027" w14:textId="77777777" w:rsidR="00A61010" w:rsidRPr="00141874" w:rsidRDefault="00A61010" w:rsidP="00A61010">
      <w:pPr>
        <w:suppressAutoHyphens w:val="0"/>
        <w:autoSpaceDE w:val="0"/>
        <w:autoSpaceDN w:val="0"/>
        <w:adjustRightInd w:val="0"/>
        <w:spacing w:line="240" w:lineRule="auto"/>
        <w:rPr>
          <w:rFonts w:ascii="Tahoma" w:hAnsi="Tahoma" w:cs="Tahoma"/>
          <w:b/>
          <w:sz w:val="22"/>
          <w:szCs w:val="22"/>
          <w:u w:val="single"/>
        </w:rPr>
      </w:pPr>
      <w:r w:rsidRPr="00141874">
        <w:rPr>
          <w:rFonts w:ascii="Tahoma" w:hAnsi="Tahoma" w:cs="Tahoma"/>
          <w:b/>
          <w:sz w:val="22"/>
          <w:szCs w:val="22"/>
          <w:u w:val="single"/>
        </w:rPr>
        <w:t>Article 3 : Nature des garanties</w:t>
      </w:r>
      <w:r w:rsidR="00974F81" w:rsidRPr="00141874">
        <w:rPr>
          <w:rFonts w:ascii="Tahoma" w:hAnsi="Tahoma" w:cs="Tahoma"/>
          <w:b/>
          <w:sz w:val="22"/>
          <w:szCs w:val="22"/>
          <w:u w:val="single"/>
        </w:rPr>
        <w:t xml:space="preserve"> et couverture</w:t>
      </w:r>
    </w:p>
    <w:p w14:paraId="040E5311" w14:textId="77777777" w:rsidR="00A61010" w:rsidRPr="00141874" w:rsidRDefault="00A61010" w:rsidP="00A61010">
      <w:pPr>
        <w:suppressAutoHyphens w:val="0"/>
        <w:autoSpaceDE w:val="0"/>
        <w:autoSpaceDN w:val="0"/>
        <w:adjustRightInd w:val="0"/>
        <w:spacing w:line="240" w:lineRule="auto"/>
        <w:rPr>
          <w:rFonts w:ascii="Tahoma" w:hAnsi="Tahoma" w:cs="Tahoma"/>
          <w:b/>
          <w:sz w:val="22"/>
          <w:szCs w:val="22"/>
          <w:u w:val="single"/>
        </w:rPr>
      </w:pPr>
    </w:p>
    <w:p w14:paraId="34955DD0" w14:textId="77777777" w:rsidR="00863544" w:rsidRPr="00863544" w:rsidRDefault="00863544" w:rsidP="00863544">
      <w:pPr>
        <w:suppressAutoHyphens w:val="0"/>
        <w:autoSpaceDE w:val="0"/>
        <w:autoSpaceDN w:val="0"/>
        <w:adjustRightInd w:val="0"/>
        <w:spacing w:line="240" w:lineRule="auto"/>
        <w:rPr>
          <w:rFonts w:ascii="Tahoma" w:hAnsi="Tahoma" w:cs="Tahoma"/>
          <w:sz w:val="22"/>
          <w:szCs w:val="22"/>
        </w:rPr>
      </w:pPr>
      <w:r w:rsidRPr="00863544">
        <w:rPr>
          <w:rFonts w:ascii="Tahoma" w:hAnsi="Tahoma" w:cs="Tahoma"/>
          <w:sz w:val="22"/>
          <w:szCs w:val="22"/>
        </w:rPr>
        <w:t>L'ensemble des prestations est plafonné, après déduction de la CSG, de la CRDS et de la CASA, à hauteur de 95% du traitement net, déduction faite des sommes perçues par l'assuré</w:t>
      </w:r>
      <w:r w:rsidR="00ED11A5">
        <w:rPr>
          <w:rFonts w:ascii="Tahoma" w:hAnsi="Tahoma" w:cs="Tahoma"/>
          <w:sz w:val="22"/>
          <w:szCs w:val="22"/>
        </w:rPr>
        <w:t>.</w:t>
      </w:r>
    </w:p>
    <w:p w14:paraId="613CB599" w14:textId="77777777" w:rsidR="00F07FF1" w:rsidRPr="00141874" w:rsidRDefault="00F07FF1" w:rsidP="00F07FF1">
      <w:pPr>
        <w:pStyle w:val="Paragraphedeliste"/>
        <w:jc w:val="center"/>
        <w:rPr>
          <w:rFonts w:ascii="Tahoma" w:hAnsi="Tahoma" w:cs="Tahoma"/>
          <w:b/>
        </w:rPr>
      </w:pPr>
    </w:p>
    <w:p w14:paraId="710FA1E5" w14:textId="77777777" w:rsidR="00F07FF1" w:rsidRPr="005C6134" w:rsidRDefault="005C6134" w:rsidP="00863544">
      <w:pPr>
        <w:pStyle w:val="Paragraphedeliste"/>
        <w:ind w:left="0"/>
        <w:jc w:val="both"/>
        <w:rPr>
          <w:rFonts w:ascii="Tahoma" w:hAnsi="Tahoma" w:cs="Tahoma"/>
          <w:u w:val="single"/>
        </w:rPr>
      </w:pPr>
      <w:r w:rsidRPr="005C6134">
        <w:rPr>
          <w:rFonts w:ascii="Tahoma" w:hAnsi="Tahoma" w:cs="Tahoma"/>
        </w:rPr>
        <w:t>En dehors de la garantie de base « </w:t>
      </w:r>
      <w:r w:rsidRPr="00A5643B">
        <w:rPr>
          <w:rFonts w:ascii="Tahoma" w:hAnsi="Tahoma" w:cs="Tahoma"/>
        </w:rPr>
        <w:t>I</w:t>
      </w:r>
      <w:r w:rsidRPr="005C6134">
        <w:rPr>
          <w:rFonts w:ascii="Tahoma" w:hAnsi="Tahoma" w:cs="Tahoma"/>
        </w:rPr>
        <w:t xml:space="preserve">ncapacité temporaire de travail », chaque agent </w:t>
      </w:r>
      <w:proofErr w:type="gramStart"/>
      <w:r w:rsidRPr="005C6134">
        <w:rPr>
          <w:rFonts w:ascii="Tahoma" w:hAnsi="Tahoma" w:cs="Tahoma"/>
        </w:rPr>
        <w:t>à</w:t>
      </w:r>
      <w:proofErr w:type="gramEnd"/>
      <w:r w:rsidRPr="005C6134">
        <w:rPr>
          <w:rFonts w:ascii="Tahoma" w:hAnsi="Tahoma" w:cs="Tahoma"/>
        </w:rPr>
        <w:t xml:space="preserve"> le choix de souscrire une ou plusieurs options. Il a également le choix, pour les garanties </w:t>
      </w:r>
      <w:r w:rsidR="00863544">
        <w:rPr>
          <w:rFonts w:ascii="Tahoma" w:hAnsi="Tahoma" w:cs="Tahoma"/>
        </w:rPr>
        <w:t>« </w:t>
      </w:r>
      <w:r w:rsidRPr="005C6134">
        <w:rPr>
          <w:rFonts w:ascii="Tahoma" w:hAnsi="Tahoma" w:cs="Tahoma"/>
        </w:rPr>
        <w:t>Incapacité</w:t>
      </w:r>
      <w:r w:rsidR="00863544">
        <w:rPr>
          <w:rFonts w:ascii="Tahoma" w:hAnsi="Tahoma" w:cs="Tahoma"/>
        </w:rPr>
        <w:t xml:space="preserve"> temporaire de travail »</w:t>
      </w:r>
      <w:r w:rsidRPr="005C6134">
        <w:rPr>
          <w:rFonts w:ascii="Tahoma" w:hAnsi="Tahoma" w:cs="Tahoma"/>
        </w:rPr>
        <w:t xml:space="preserve"> et </w:t>
      </w:r>
      <w:r w:rsidR="00863544">
        <w:rPr>
          <w:rFonts w:ascii="Tahoma" w:hAnsi="Tahoma" w:cs="Tahoma"/>
        </w:rPr>
        <w:t>« </w:t>
      </w:r>
      <w:r w:rsidR="00006DB6">
        <w:rPr>
          <w:rFonts w:ascii="Tahoma" w:hAnsi="Tahoma" w:cs="Tahoma"/>
        </w:rPr>
        <w:t>I</w:t>
      </w:r>
      <w:r w:rsidRPr="005C6134">
        <w:rPr>
          <w:rFonts w:ascii="Tahoma" w:hAnsi="Tahoma" w:cs="Tahoma"/>
        </w:rPr>
        <w:t>nvalidité</w:t>
      </w:r>
      <w:r w:rsidR="00863544">
        <w:rPr>
          <w:rFonts w:ascii="Tahoma" w:hAnsi="Tahoma" w:cs="Tahoma"/>
        </w:rPr>
        <w:t> »</w:t>
      </w:r>
      <w:r w:rsidRPr="005C6134">
        <w:rPr>
          <w:rFonts w:ascii="Tahoma" w:hAnsi="Tahoma" w:cs="Tahoma"/>
        </w:rPr>
        <w:t xml:space="preserve"> d’ajouter à l’assiette de base la couverture de son régime indemnitaire.</w:t>
      </w:r>
    </w:p>
    <w:p w14:paraId="7FC2BCEF" w14:textId="77777777" w:rsidR="00F07FF1" w:rsidRPr="00141874" w:rsidRDefault="00F07FF1" w:rsidP="00F07FF1">
      <w:pPr>
        <w:rPr>
          <w:rFonts w:ascii="Tahoma" w:hAnsi="Tahoma" w:cs="Tahoma"/>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6736"/>
      </w:tblGrid>
      <w:tr w:rsidR="00863544" w:rsidRPr="00141874" w14:paraId="3B93E00E" w14:textId="77777777" w:rsidTr="00863544">
        <w:trPr>
          <w:trHeight w:val="365"/>
          <w:jc w:val="center"/>
        </w:trPr>
        <w:tc>
          <w:tcPr>
            <w:tcW w:w="2053" w:type="dxa"/>
            <w:shd w:val="clear" w:color="auto" w:fill="D9D9D9"/>
          </w:tcPr>
          <w:p w14:paraId="6CD708A5" w14:textId="77777777" w:rsidR="00863544" w:rsidRPr="00141874" w:rsidRDefault="00863544" w:rsidP="00F07FF1">
            <w:pPr>
              <w:jc w:val="center"/>
              <w:rPr>
                <w:rFonts w:ascii="Tahoma" w:hAnsi="Tahoma" w:cs="Tahoma"/>
                <w:b/>
                <w:sz w:val="22"/>
                <w:szCs w:val="22"/>
              </w:rPr>
            </w:pPr>
          </w:p>
        </w:tc>
        <w:tc>
          <w:tcPr>
            <w:tcW w:w="6736" w:type="dxa"/>
            <w:shd w:val="clear" w:color="auto" w:fill="D9D9D9"/>
          </w:tcPr>
          <w:p w14:paraId="10738A78" w14:textId="77777777" w:rsidR="00863544" w:rsidRPr="00141874" w:rsidRDefault="00863544" w:rsidP="00F07FF1">
            <w:pPr>
              <w:jc w:val="center"/>
              <w:rPr>
                <w:rFonts w:ascii="Tahoma" w:hAnsi="Tahoma" w:cs="Tahoma"/>
                <w:b/>
                <w:sz w:val="22"/>
                <w:szCs w:val="22"/>
              </w:rPr>
            </w:pPr>
            <w:r w:rsidRPr="00141874">
              <w:rPr>
                <w:rFonts w:ascii="Tahoma" w:hAnsi="Tahoma" w:cs="Tahoma"/>
                <w:b/>
                <w:sz w:val="22"/>
                <w:szCs w:val="22"/>
              </w:rPr>
              <w:t>Garanties</w:t>
            </w:r>
          </w:p>
        </w:tc>
      </w:tr>
      <w:tr w:rsidR="00863544" w:rsidRPr="00141874" w14:paraId="38DB0981" w14:textId="77777777" w:rsidTr="00863544">
        <w:trPr>
          <w:trHeight w:val="700"/>
          <w:jc w:val="center"/>
        </w:trPr>
        <w:tc>
          <w:tcPr>
            <w:tcW w:w="2053" w:type="dxa"/>
          </w:tcPr>
          <w:p w14:paraId="33075759" w14:textId="77777777" w:rsidR="00863544" w:rsidRPr="00141874" w:rsidRDefault="00863544" w:rsidP="00863544">
            <w:pPr>
              <w:rPr>
                <w:rFonts w:ascii="Tahoma" w:hAnsi="Tahoma" w:cs="Tahoma"/>
                <w:i/>
                <w:sz w:val="22"/>
                <w:szCs w:val="22"/>
              </w:rPr>
            </w:pPr>
            <w:r>
              <w:rPr>
                <w:rFonts w:ascii="Tahoma" w:hAnsi="Tahoma" w:cs="Tahoma"/>
                <w:i/>
                <w:sz w:val="22"/>
                <w:szCs w:val="22"/>
              </w:rPr>
              <w:t>Offre de base</w:t>
            </w:r>
          </w:p>
        </w:tc>
        <w:tc>
          <w:tcPr>
            <w:tcW w:w="6736" w:type="dxa"/>
          </w:tcPr>
          <w:p w14:paraId="3BAEB824" w14:textId="77777777" w:rsidR="00863544" w:rsidRPr="00141874" w:rsidRDefault="00863544" w:rsidP="00863544">
            <w:pPr>
              <w:rPr>
                <w:rFonts w:ascii="Tahoma" w:hAnsi="Tahoma" w:cs="Tahoma"/>
                <w:i/>
                <w:sz w:val="22"/>
                <w:szCs w:val="22"/>
              </w:rPr>
            </w:pPr>
            <w:r w:rsidRPr="00141874">
              <w:rPr>
                <w:rFonts w:ascii="Tahoma" w:hAnsi="Tahoma" w:cs="Tahoma"/>
                <w:i/>
                <w:sz w:val="22"/>
                <w:szCs w:val="22"/>
              </w:rPr>
              <w:t>Incapacité Temporaire de Travail</w:t>
            </w:r>
          </w:p>
        </w:tc>
      </w:tr>
      <w:tr w:rsidR="00863544" w:rsidRPr="00141874" w14:paraId="35B131E5" w14:textId="77777777" w:rsidTr="00863544">
        <w:trPr>
          <w:trHeight w:val="700"/>
          <w:jc w:val="center"/>
        </w:trPr>
        <w:tc>
          <w:tcPr>
            <w:tcW w:w="2053" w:type="dxa"/>
          </w:tcPr>
          <w:p w14:paraId="46087E31" w14:textId="77777777" w:rsidR="00863544" w:rsidRPr="00141874" w:rsidRDefault="00863544" w:rsidP="00863544">
            <w:pPr>
              <w:rPr>
                <w:rFonts w:ascii="Tahoma" w:hAnsi="Tahoma" w:cs="Tahoma"/>
                <w:i/>
                <w:sz w:val="22"/>
                <w:szCs w:val="22"/>
              </w:rPr>
            </w:pPr>
            <w:r>
              <w:rPr>
                <w:rFonts w:ascii="Tahoma" w:hAnsi="Tahoma" w:cs="Tahoma"/>
                <w:i/>
                <w:sz w:val="22"/>
                <w:szCs w:val="22"/>
              </w:rPr>
              <w:t>Option 1</w:t>
            </w:r>
          </w:p>
        </w:tc>
        <w:tc>
          <w:tcPr>
            <w:tcW w:w="6736" w:type="dxa"/>
          </w:tcPr>
          <w:p w14:paraId="4EDDFFF5" w14:textId="77777777" w:rsidR="00863544" w:rsidRPr="00141874" w:rsidRDefault="00863544" w:rsidP="00863544">
            <w:pPr>
              <w:rPr>
                <w:rFonts w:ascii="Tahoma" w:hAnsi="Tahoma" w:cs="Tahoma"/>
                <w:i/>
                <w:sz w:val="22"/>
                <w:szCs w:val="22"/>
              </w:rPr>
            </w:pPr>
            <w:r w:rsidRPr="00141874">
              <w:rPr>
                <w:rFonts w:ascii="Tahoma" w:hAnsi="Tahoma" w:cs="Tahoma"/>
                <w:i/>
                <w:sz w:val="22"/>
                <w:szCs w:val="22"/>
              </w:rPr>
              <w:t>Invalidité</w:t>
            </w:r>
          </w:p>
        </w:tc>
      </w:tr>
      <w:tr w:rsidR="00863544" w:rsidRPr="00141874" w14:paraId="586BD98C" w14:textId="77777777" w:rsidTr="00863544">
        <w:trPr>
          <w:trHeight w:val="700"/>
          <w:jc w:val="center"/>
        </w:trPr>
        <w:tc>
          <w:tcPr>
            <w:tcW w:w="2053" w:type="dxa"/>
          </w:tcPr>
          <w:p w14:paraId="69D3FA80" w14:textId="77777777" w:rsidR="00863544" w:rsidRDefault="00863544" w:rsidP="00863544">
            <w:pPr>
              <w:rPr>
                <w:rFonts w:ascii="Tahoma" w:hAnsi="Tahoma" w:cs="Tahoma"/>
                <w:i/>
                <w:sz w:val="22"/>
                <w:szCs w:val="22"/>
              </w:rPr>
            </w:pPr>
            <w:r>
              <w:rPr>
                <w:rFonts w:ascii="Tahoma" w:hAnsi="Tahoma" w:cs="Tahoma"/>
                <w:i/>
                <w:sz w:val="22"/>
                <w:szCs w:val="22"/>
              </w:rPr>
              <w:t>Option 2</w:t>
            </w:r>
          </w:p>
        </w:tc>
        <w:tc>
          <w:tcPr>
            <w:tcW w:w="6736" w:type="dxa"/>
          </w:tcPr>
          <w:p w14:paraId="043DF850" w14:textId="77777777" w:rsidR="00863544" w:rsidRPr="00141874" w:rsidRDefault="00863544" w:rsidP="00863544">
            <w:pPr>
              <w:rPr>
                <w:rFonts w:ascii="Tahoma" w:hAnsi="Tahoma" w:cs="Tahoma"/>
                <w:i/>
                <w:sz w:val="22"/>
                <w:szCs w:val="22"/>
              </w:rPr>
            </w:pPr>
            <w:r>
              <w:rPr>
                <w:rFonts w:ascii="Tahoma" w:hAnsi="Tahoma" w:cs="Tahoma"/>
                <w:i/>
                <w:sz w:val="22"/>
                <w:szCs w:val="22"/>
              </w:rPr>
              <w:t>Minoration de retraite</w:t>
            </w:r>
          </w:p>
        </w:tc>
      </w:tr>
      <w:tr w:rsidR="00863544" w:rsidRPr="00141874" w14:paraId="735D1452" w14:textId="77777777" w:rsidTr="00863544">
        <w:trPr>
          <w:trHeight w:val="700"/>
          <w:jc w:val="center"/>
        </w:trPr>
        <w:tc>
          <w:tcPr>
            <w:tcW w:w="2053" w:type="dxa"/>
          </w:tcPr>
          <w:p w14:paraId="3C85AA73" w14:textId="77777777" w:rsidR="00863544" w:rsidRDefault="00863544" w:rsidP="00863544">
            <w:pPr>
              <w:rPr>
                <w:rFonts w:ascii="Tahoma" w:hAnsi="Tahoma" w:cs="Tahoma"/>
                <w:i/>
                <w:sz w:val="22"/>
                <w:szCs w:val="22"/>
              </w:rPr>
            </w:pPr>
            <w:r>
              <w:rPr>
                <w:rFonts w:ascii="Tahoma" w:hAnsi="Tahoma" w:cs="Tahoma"/>
                <w:i/>
                <w:sz w:val="22"/>
                <w:szCs w:val="22"/>
              </w:rPr>
              <w:t>Option 3</w:t>
            </w:r>
          </w:p>
        </w:tc>
        <w:tc>
          <w:tcPr>
            <w:tcW w:w="6736" w:type="dxa"/>
          </w:tcPr>
          <w:p w14:paraId="6EE8C867" w14:textId="77777777" w:rsidR="00863544" w:rsidRPr="00141874" w:rsidRDefault="00863544" w:rsidP="00863544">
            <w:pPr>
              <w:rPr>
                <w:rFonts w:ascii="Tahoma" w:hAnsi="Tahoma" w:cs="Tahoma"/>
                <w:i/>
                <w:sz w:val="22"/>
                <w:szCs w:val="22"/>
              </w:rPr>
            </w:pPr>
            <w:r>
              <w:rPr>
                <w:rFonts w:ascii="Tahoma" w:hAnsi="Tahoma" w:cs="Tahoma"/>
                <w:i/>
                <w:sz w:val="22"/>
                <w:szCs w:val="22"/>
              </w:rPr>
              <w:t>Capital décès / perte totale et irréversible d’autonomie</w:t>
            </w:r>
          </w:p>
        </w:tc>
      </w:tr>
      <w:tr w:rsidR="00863544" w:rsidRPr="00141874" w14:paraId="1AAB6A8C" w14:textId="77777777" w:rsidTr="00863544">
        <w:trPr>
          <w:trHeight w:val="700"/>
          <w:jc w:val="center"/>
        </w:trPr>
        <w:tc>
          <w:tcPr>
            <w:tcW w:w="2053" w:type="dxa"/>
          </w:tcPr>
          <w:p w14:paraId="54E18633" w14:textId="77777777" w:rsidR="00863544" w:rsidRDefault="00863544" w:rsidP="00863544">
            <w:pPr>
              <w:rPr>
                <w:rFonts w:ascii="Tahoma" w:hAnsi="Tahoma" w:cs="Tahoma"/>
                <w:i/>
                <w:sz w:val="22"/>
                <w:szCs w:val="22"/>
              </w:rPr>
            </w:pPr>
            <w:r>
              <w:rPr>
                <w:rFonts w:ascii="Tahoma" w:hAnsi="Tahoma" w:cs="Tahoma"/>
                <w:i/>
                <w:sz w:val="22"/>
                <w:szCs w:val="22"/>
              </w:rPr>
              <w:t>Option 4</w:t>
            </w:r>
          </w:p>
        </w:tc>
        <w:tc>
          <w:tcPr>
            <w:tcW w:w="6736" w:type="dxa"/>
          </w:tcPr>
          <w:p w14:paraId="6AE62878" w14:textId="77777777" w:rsidR="00863544" w:rsidRPr="00141874" w:rsidRDefault="00863544" w:rsidP="00863544">
            <w:pPr>
              <w:rPr>
                <w:rFonts w:ascii="Tahoma" w:hAnsi="Tahoma" w:cs="Tahoma"/>
                <w:i/>
                <w:sz w:val="22"/>
                <w:szCs w:val="22"/>
              </w:rPr>
            </w:pPr>
            <w:r>
              <w:rPr>
                <w:rFonts w:ascii="Tahoma" w:hAnsi="Tahoma" w:cs="Tahoma"/>
                <w:i/>
                <w:sz w:val="22"/>
                <w:szCs w:val="22"/>
              </w:rPr>
              <w:t>Régime indemnitaire (1)</w:t>
            </w:r>
          </w:p>
        </w:tc>
      </w:tr>
    </w:tbl>
    <w:p w14:paraId="3D234684" w14:textId="77777777" w:rsidR="00863544" w:rsidRPr="000461C7" w:rsidRDefault="00863544" w:rsidP="000461C7">
      <w:pPr>
        <w:pStyle w:val="Paragraphedeliste"/>
        <w:numPr>
          <w:ilvl w:val="0"/>
          <w:numId w:val="8"/>
        </w:numPr>
        <w:ind w:left="142" w:firstLine="0"/>
        <w:jc w:val="both"/>
        <w:rPr>
          <w:rFonts w:ascii="Tahoma" w:hAnsi="Tahoma" w:cs="Tahoma"/>
          <w:i/>
          <w:sz w:val="18"/>
          <w:szCs w:val="18"/>
        </w:rPr>
      </w:pPr>
      <w:r w:rsidRPr="000461C7">
        <w:rPr>
          <w:rFonts w:ascii="Tahoma" w:hAnsi="Tahoma" w:cs="Tahoma"/>
          <w:i/>
          <w:sz w:val="18"/>
          <w:szCs w:val="18"/>
        </w:rPr>
        <w:t xml:space="preserve">L’option ne s’applique que pour l’offre de base et l’option 1. Le régime indemnitaire n’est pas versé </w:t>
      </w:r>
      <w:proofErr w:type="gramStart"/>
      <w:r w:rsidRPr="000461C7">
        <w:rPr>
          <w:rFonts w:ascii="Tahoma" w:hAnsi="Tahoma" w:cs="Tahoma"/>
          <w:i/>
          <w:sz w:val="18"/>
          <w:szCs w:val="18"/>
        </w:rPr>
        <w:t>lorsque</w:t>
      </w:r>
      <w:proofErr w:type="gramEnd"/>
      <w:r w:rsidRPr="000461C7">
        <w:rPr>
          <w:rFonts w:ascii="Tahoma" w:hAnsi="Tahoma" w:cs="Tahoma"/>
          <w:i/>
          <w:sz w:val="18"/>
          <w:szCs w:val="18"/>
        </w:rPr>
        <w:t xml:space="preserve"> la collectivité ne le </w:t>
      </w:r>
      <w:r w:rsidR="00A5643B" w:rsidRPr="000461C7">
        <w:rPr>
          <w:rFonts w:ascii="Tahoma" w:hAnsi="Tahoma" w:cs="Tahoma"/>
          <w:i/>
          <w:sz w:val="18"/>
          <w:szCs w:val="18"/>
        </w:rPr>
        <w:t>maintien</w:t>
      </w:r>
      <w:r w:rsidR="00ED11A5" w:rsidRPr="000461C7">
        <w:rPr>
          <w:rFonts w:ascii="Tahoma" w:hAnsi="Tahoma" w:cs="Tahoma"/>
          <w:i/>
          <w:sz w:val="18"/>
          <w:szCs w:val="18"/>
        </w:rPr>
        <w:t>t</w:t>
      </w:r>
      <w:r w:rsidRPr="000461C7">
        <w:rPr>
          <w:rFonts w:ascii="Tahoma" w:hAnsi="Tahoma" w:cs="Tahoma"/>
          <w:i/>
          <w:sz w:val="18"/>
          <w:szCs w:val="18"/>
        </w:rPr>
        <w:t xml:space="preserve"> pas.</w:t>
      </w:r>
    </w:p>
    <w:p w14:paraId="0D54FEA3" w14:textId="77777777" w:rsidR="00F07FF1" w:rsidRPr="00141874" w:rsidRDefault="00F07FF1" w:rsidP="00A61010">
      <w:pPr>
        <w:suppressAutoHyphens w:val="0"/>
        <w:autoSpaceDE w:val="0"/>
        <w:autoSpaceDN w:val="0"/>
        <w:adjustRightInd w:val="0"/>
        <w:spacing w:line="240" w:lineRule="auto"/>
        <w:rPr>
          <w:rFonts w:ascii="Tahoma" w:eastAsia="Calibri" w:hAnsi="Tahoma" w:cs="Tahoma"/>
          <w:color w:val="000000"/>
          <w:sz w:val="22"/>
          <w:szCs w:val="22"/>
          <w:lang w:eastAsia="en-US"/>
        </w:rPr>
      </w:pPr>
    </w:p>
    <w:p w14:paraId="10B96E09" w14:textId="77777777" w:rsidR="00A61010" w:rsidRPr="00141874" w:rsidRDefault="00A61010" w:rsidP="00A61010">
      <w:pPr>
        <w:suppressAutoHyphens w:val="0"/>
        <w:autoSpaceDE w:val="0"/>
        <w:autoSpaceDN w:val="0"/>
        <w:adjustRightInd w:val="0"/>
        <w:spacing w:line="240" w:lineRule="auto"/>
        <w:rPr>
          <w:rFonts w:ascii="Tahoma" w:hAnsi="Tahoma" w:cs="Tahoma"/>
          <w:b/>
          <w:sz w:val="22"/>
          <w:szCs w:val="22"/>
          <w:u w:val="single"/>
        </w:rPr>
      </w:pPr>
      <w:r w:rsidRPr="00141874">
        <w:rPr>
          <w:rFonts w:ascii="Tahoma" w:hAnsi="Tahoma" w:cs="Tahoma"/>
          <w:b/>
          <w:sz w:val="22"/>
          <w:szCs w:val="22"/>
          <w:u w:val="single"/>
        </w:rPr>
        <w:t xml:space="preserve">Article </w:t>
      </w:r>
      <w:r w:rsidR="00F07FF1" w:rsidRPr="00141874">
        <w:rPr>
          <w:rFonts w:ascii="Tahoma" w:hAnsi="Tahoma" w:cs="Tahoma"/>
          <w:b/>
          <w:sz w:val="22"/>
          <w:szCs w:val="22"/>
          <w:u w:val="single"/>
        </w:rPr>
        <w:t>4</w:t>
      </w:r>
      <w:r w:rsidRPr="00141874">
        <w:rPr>
          <w:rFonts w:ascii="Tahoma" w:hAnsi="Tahoma" w:cs="Tahoma"/>
          <w:b/>
          <w:sz w:val="22"/>
          <w:szCs w:val="22"/>
          <w:u w:val="single"/>
        </w:rPr>
        <w:t> : Taux de cotisation</w:t>
      </w:r>
    </w:p>
    <w:p w14:paraId="34BF194D" w14:textId="77777777" w:rsidR="00F61BF1" w:rsidRPr="00863544" w:rsidRDefault="00F61BF1" w:rsidP="00A61010">
      <w:pPr>
        <w:suppressAutoHyphens w:val="0"/>
        <w:autoSpaceDE w:val="0"/>
        <w:autoSpaceDN w:val="0"/>
        <w:adjustRightInd w:val="0"/>
        <w:spacing w:line="240" w:lineRule="auto"/>
        <w:rPr>
          <w:rFonts w:ascii="Tahoma" w:hAnsi="Tahoma" w:cs="Tahoma"/>
          <w:b/>
          <w:sz w:val="22"/>
          <w:szCs w:val="22"/>
          <w:u w:val="single"/>
        </w:rPr>
      </w:pPr>
    </w:p>
    <w:p w14:paraId="223A6422" w14:textId="77777777" w:rsidR="005D558A" w:rsidRPr="00141874" w:rsidRDefault="005D558A" w:rsidP="00F07FF1">
      <w:pPr>
        <w:rPr>
          <w:rFonts w:ascii="Tahoma" w:hAnsi="Tahoma" w:cs="Tahoma"/>
          <w:b/>
          <w:sz w:val="22"/>
          <w:szCs w:val="22"/>
          <w:u w:val="single"/>
        </w:rPr>
      </w:pPr>
      <w:r>
        <w:rPr>
          <w:rFonts w:ascii="Tahoma" w:hAnsi="Tahoma" w:cs="Tahoma"/>
          <w:b/>
          <w:sz w:val="22"/>
          <w:szCs w:val="22"/>
          <w:u w:val="single"/>
        </w:rPr>
        <w:t>Offre de 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693"/>
      </w:tblGrid>
      <w:tr w:rsidR="005D558A" w:rsidRPr="00141874" w14:paraId="74DD9FB2" w14:textId="77777777" w:rsidTr="005D558A">
        <w:tc>
          <w:tcPr>
            <w:tcW w:w="6204" w:type="dxa"/>
            <w:shd w:val="clear" w:color="auto" w:fill="BFBFBF"/>
          </w:tcPr>
          <w:p w14:paraId="352038EE" w14:textId="77777777" w:rsidR="005D558A" w:rsidRPr="00141874" w:rsidRDefault="005D558A" w:rsidP="00F07FF1">
            <w:pPr>
              <w:jc w:val="center"/>
              <w:rPr>
                <w:rFonts w:ascii="Tahoma" w:hAnsi="Tahoma" w:cs="Tahoma"/>
                <w:b/>
                <w:sz w:val="22"/>
                <w:szCs w:val="22"/>
              </w:rPr>
            </w:pPr>
            <w:r w:rsidRPr="00141874">
              <w:rPr>
                <w:rFonts w:ascii="Tahoma" w:hAnsi="Tahoma" w:cs="Tahoma"/>
                <w:b/>
                <w:sz w:val="22"/>
                <w:szCs w:val="22"/>
              </w:rPr>
              <w:t>Garanties</w:t>
            </w:r>
          </w:p>
        </w:tc>
        <w:tc>
          <w:tcPr>
            <w:tcW w:w="2693" w:type="dxa"/>
            <w:shd w:val="clear" w:color="auto" w:fill="BFBFBF"/>
          </w:tcPr>
          <w:p w14:paraId="3034CE5D" w14:textId="77777777" w:rsidR="005D558A" w:rsidRPr="00141874" w:rsidRDefault="005D558A" w:rsidP="00F07FF1">
            <w:pPr>
              <w:jc w:val="center"/>
              <w:rPr>
                <w:rFonts w:ascii="Tahoma" w:hAnsi="Tahoma" w:cs="Tahoma"/>
                <w:b/>
                <w:sz w:val="22"/>
                <w:szCs w:val="22"/>
              </w:rPr>
            </w:pPr>
            <w:r>
              <w:rPr>
                <w:rFonts w:ascii="Tahoma" w:hAnsi="Tahoma" w:cs="Tahoma"/>
                <w:b/>
                <w:sz w:val="22"/>
                <w:szCs w:val="22"/>
              </w:rPr>
              <w:t>Taux</w:t>
            </w:r>
          </w:p>
        </w:tc>
      </w:tr>
      <w:tr w:rsidR="005D558A" w:rsidRPr="00D15DCE" w14:paraId="576589DF" w14:textId="77777777" w:rsidTr="005D558A">
        <w:tc>
          <w:tcPr>
            <w:tcW w:w="6204" w:type="dxa"/>
            <w:vAlign w:val="center"/>
          </w:tcPr>
          <w:p w14:paraId="75446EAA" w14:textId="77777777" w:rsidR="005D558A" w:rsidRPr="00D15DCE" w:rsidRDefault="005D558A" w:rsidP="008720F2">
            <w:pPr>
              <w:rPr>
                <w:rFonts w:ascii="Tahoma" w:hAnsi="Tahoma" w:cs="Tahoma"/>
                <w:i/>
                <w:sz w:val="22"/>
                <w:szCs w:val="22"/>
              </w:rPr>
            </w:pPr>
            <w:r w:rsidRPr="00D15DCE">
              <w:rPr>
                <w:rFonts w:ascii="Tahoma" w:hAnsi="Tahoma" w:cs="Tahoma"/>
                <w:i/>
                <w:sz w:val="22"/>
                <w:szCs w:val="22"/>
              </w:rPr>
              <w:t>Incapacité Temporaire de Travail</w:t>
            </w:r>
          </w:p>
        </w:tc>
        <w:tc>
          <w:tcPr>
            <w:tcW w:w="2693" w:type="dxa"/>
            <w:vAlign w:val="center"/>
          </w:tcPr>
          <w:p w14:paraId="5D566B77" w14:textId="77777777" w:rsidR="005D558A" w:rsidRPr="00D15DCE" w:rsidRDefault="005D558A" w:rsidP="00D15DCE">
            <w:pPr>
              <w:jc w:val="center"/>
              <w:rPr>
                <w:rFonts w:ascii="Tahoma" w:hAnsi="Tahoma" w:cs="Tahoma"/>
                <w:sz w:val="22"/>
                <w:szCs w:val="22"/>
              </w:rPr>
            </w:pPr>
            <w:r w:rsidRPr="00D15DCE">
              <w:rPr>
                <w:rFonts w:ascii="Tahoma" w:hAnsi="Tahoma" w:cs="Tahoma"/>
                <w:sz w:val="22"/>
                <w:szCs w:val="22"/>
              </w:rPr>
              <w:t>0,</w:t>
            </w:r>
            <w:r w:rsidR="00D15DCE" w:rsidRPr="00D15DCE">
              <w:rPr>
                <w:rFonts w:ascii="Tahoma" w:hAnsi="Tahoma" w:cs="Tahoma"/>
                <w:sz w:val="22"/>
                <w:szCs w:val="22"/>
              </w:rPr>
              <w:t>87</w:t>
            </w:r>
            <w:r w:rsidRPr="00D15DCE">
              <w:rPr>
                <w:rFonts w:ascii="Tahoma" w:hAnsi="Tahoma" w:cs="Tahoma"/>
                <w:sz w:val="22"/>
                <w:szCs w:val="22"/>
              </w:rPr>
              <w:t>%</w:t>
            </w:r>
          </w:p>
        </w:tc>
      </w:tr>
    </w:tbl>
    <w:p w14:paraId="6D672173" w14:textId="77777777" w:rsidR="00F07FF1" w:rsidRPr="00D15DCE" w:rsidRDefault="00F07FF1" w:rsidP="00F07FF1">
      <w:pPr>
        <w:rPr>
          <w:rFonts w:ascii="Tahoma" w:hAnsi="Tahoma" w:cs="Tahoma"/>
          <w:sz w:val="22"/>
          <w:szCs w:val="22"/>
        </w:rPr>
      </w:pPr>
    </w:p>
    <w:p w14:paraId="287B3922" w14:textId="77777777" w:rsidR="00F07FF1" w:rsidRPr="00D15DCE" w:rsidRDefault="00F07FF1" w:rsidP="00F07FF1">
      <w:pPr>
        <w:rPr>
          <w:rFonts w:ascii="Tahoma" w:hAnsi="Tahoma" w:cs="Tahoma"/>
          <w:b/>
          <w:sz w:val="22"/>
          <w:szCs w:val="22"/>
          <w:u w:val="single"/>
        </w:rPr>
      </w:pPr>
      <w:r w:rsidRPr="00D15DCE">
        <w:rPr>
          <w:rFonts w:ascii="Tahoma" w:hAnsi="Tahoma" w:cs="Tahoma"/>
          <w:b/>
          <w:sz w:val="22"/>
          <w:szCs w:val="22"/>
          <w:u w:val="single"/>
        </w:rPr>
        <w:t>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693"/>
      </w:tblGrid>
      <w:tr w:rsidR="005D558A" w:rsidRPr="00D15DCE" w14:paraId="14D97ACD" w14:textId="77777777" w:rsidTr="005D558A">
        <w:tc>
          <w:tcPr>
            <w:tcW w:w="6204" w:type="dxa"/>
            <w:shd w:val="clear" w:color="auto" w:fill="BFBFBF"/>
          </w:tcPr>
          <w:p w14:paraId="1A4B86AD" w14:textId="77777777" w:rsidR="005D558A" w:rsidRPr="00D15DCE" w:rsidRDefault="005D558A" w:rsidP="00F07FF1">
            <w:pPr>
              <w:jc w:val="center"/>
              <w:rPr>
                <w:rFonts w:ascii="Tahoma" w:hAnsi="Tahoma" w:cs="Tahoma"/>
                <w:b/>
                <w:sz w:val="22"/>
                <w:szCs w:val="22"/>
              </w:rPr>
            </w:pPr>
            <w:r w:rsidRPr="00D15DCE">
              <w:rPr>
                <w:rFonts w:ascii="Tahoma" w:hAnsi="Tahoma" w:cs="Tahoma"/>
                <w:b/>
                <w:sz w:val="22"/>
                <w:szCs w:val="22"/>
              </w:rPr>
              <w:t>Garanties</w:t>
            </w:r>
          </w:p>
        </w:tc>
        <w:tc>
          <w:tcPr>
            <w:tcW w:w="2693" w:type="dxa"/>
            <w:shd w:val="clear" w:color="auto" w:fill="BFBFBF"/>
          </w:tcPr>
          <w:p w14:paraId="5E7A4C99" w14:textId="77777777" w:rsidR="005D558A" w:rsidRPr="00D15DCE" w:rsidRDefault="005D558A" w:rsidP="00F07FF1">
            <w:pPr>
              <w:jc w:val="center"/>
              <w:rPr>
                <w:rFonts w:ascii="Tahoma" w:hAnsi="Tahoma" w:cs="Tahoma"/>
                <w:b/>
                <w:sz w:val="22"/>
                <w:szCs w:val="22"/>
              </w:rPr>
            </w:pPr>
            <w:r w:rsidRPr="00D15DCE">
              <w:rPr>
                <w:rFonts w:ascii="Tahoma" w:hAnsi="Tahoma" w:cs="Tahoma"/>
                <w:b/>
                <w:sz w:val="22"/>
                <w:szCs w:val="22"/>
              </w:rPr>
              <w:t>Taux</w:t>
            </w:r>
          </w:p>
        </w:tc>
      </w:tr>
      <w:tr w:rsidR="005D558A" w:rsidRPr="00D15DCE" w14:paraId="1B1E4C0D" w14:textId="77777777" w:rsidTr="005D558A">
        <w:tc>
          <w:tcPr>
            <w:tcW w:w="6204" w:type="dxa"/>
            <w:vAlign w:val="center"/>
          </w:tcPr>
          <w:p w14:paraId="7648CF8E" w14:textId="77777777" w:rsidR="005D558A" w:rsidRPr="006A2F50" w:rsidRDefault="005D558A" w:rsidP="005D558A">
            <w:pPr>
              <w:rPr>
                <w:rFonts w:ascii="Tahoma" w:hAnsi="Tahoma" w:cs="Tahoma"/>
                <w:i/>
                <w:sz w:val="22"/>
                <w:szCs w:val="22"/>
              </w:rPr>
            </w:pPr>
            <w:r w:rsidRPr="006A2F50">
              <w:rPr>
                <w:rFonts w:ascii="Tahoma" w:hAnsi="Tahoma" w:cs="Tahoma"/>
                <w:i/>
                <w:sz w:val="22"/>
                <w:szCs w:val="22"/>
              </w:rPr>
              <w:t>Option 1 : Invalidité</w:t>
            </w:r>
          </w:p>
        </w:tc>
        <w:tc>
          <w:tcPr>
            <w:tcW w:w="2693" w:type="dxa"/>
            <w:vAlign w:val="center"/>
          </w:tcPr>
          <w:p w14:paraId="624F668E" w14:textId="77777777" w:rsidR="005D558A" w:rsidRPr="00D15DCE" w:rsidRDefault="005D558A" w:rsidP="00D15DCE">
            <w:pPr>
              <w:jc w:val="center"/>
              <w:rPr>
                <w:rFonts w:ascii="Tahoma" w:hAnsi="Tahoma" w:cs="Tahoma"/>
                <w:sz w:val="22"/>
                <w:szCs w:val="22"/>
              </w:rPr>
            </w:pPr>
            <w:r w:rsidRPr="00D15DCE">
              <w:rPr>
                <w:rFonts w:ascii="Tahoma" w:hAnsi="Tahoma" w:cs="Tahoma"/>
                <w:sz w:val="22"/>
                <w:szCs w:val="22"/>
              </w:rPr>
              <w:t>0,</w:t>
            </w:r>
            <w:r w:rsidR="00D15DCE" w:rsidRPr="00D15DCE">
              <w:rPr>
                <w:rFonts w:ascii="Tahoma" w:hAnsi="Tahoma" w:cs="Tahoma"/>
                <w:sz w:val="22"/>
                <w:szCs w:val="22"/>
              </w:rPr>
              <w:t>96</w:t>
            </w:r>
            <w:r w:rsidRPr="00D15DCE">
              <w:rPr>
                <w:rFonts w:ascii="Tahoma" w:hAnsi="Tahoma" w:cs="Tahoma"/>
                <w:sz w:val="22"/>
                <w:szCs w:val="22"/>
              </w:rPr>
              <w:t>%</w:t>
            </w:r>
          </w:p>
        </w:tc>
      </w:tr>
      <w:tr w:rsidR="005D558A" w:rsidRPr="00D15DCE" w14:paraId="1187FE44" w14:textId="77777777" w:rsidTr="005D558A">
        <w:tc>
          <w:tcPr>
            <w:tcW w:w="6204" w:type="dxa"/>
            <w:vAlign w:val="center"/>
          </w:tcPr>
          <w:p w14:paraId="745848DD" w14:textId="77777777" w:rsidR="005D558A" w:rsidRPr="006A2F50" w:rsidRDefault="005D558A" w:rsidP="005D558A">
            <w:pPr>
              <w:rPr>
                <w:rFonts w:ascii="Tahoma" w:hAnsi="Tahoma" w:cs="Tahoma"/>
                <w:i/>
                <w:iCs/>
                <w:sz w:val="22"/>
                <w:szCs w:val="22"/>
              </w:rPr>
            </w:pPr>
            <w:r w:rsidRPr="006A2F50">
              <w:rPr>
                <w:rFonts w:ascii="Tahoma" w:hAnsi="Tahoma" w:cs="Tahoma"/>
                <w:i/>
                <w:sz w:val="22"/>
                <w:szCs w:val="22"/>
              </w:rPr>
              <w:t>Option 2</w:t>
            </w:r>
            <w:r w:rsidRPr="006A2F50">
              <w:rPr>
                <w:rFonts w:ascii="Tahoma" w:hAnsi="Tahoma" w:cs="Tahoma"/>
                <w:sz w:val="22"/>
                <w:szCs w:val="22"/>
              </w:rPr>
              <w:t> :</w:t>
            </w:r>
            <w:r w:rsidRPr="006A2F50">
              <w:rPr>
                <w:rFonts w:ascii="Tahoma" w:hAnsi="Tahoma" w:cs="Tahoma"/>
                <w:i/>
                <w:sz w:val="22"/>
                <w:szCs w:val="22"/>
              </w:rPr>
              <w:t xml:space="preserve"> Minoration de retraite</w:t>
            </w:r>
          </w:p>
        </w:tc>
        <w:tc>
          <w:tcPr>
            <w:tcW w:w="2693" w:type="dxa"/>
            <w:vAlign w:val="center"/>
          </w:tcPr>
          <w:p w14:paraId="79F044B0" w14:textId="77777777" w:rsidR="005D558A" w:rsidRPr="00D15DCE" w:rsidRDefault="005D558A" w:rsidP="00D15DCE">
            <w:pPr>
              <w:jc w:val="center"/>
              <w:rPr>
                <w:rFonts w:ascii="Tahoma" w:hAnsi="Tahoma" w:cs="Tahoma"/>
                <w:sz w:val="22"/>
                <w:szCs w:val="22"/>
              </w:rPr>
            </w:pPr>
            <w:r w:rsidRPr="00D15DCE">
              <w:rPr>
                <w:rFonts w:ascii="Tahoma" w:hAnsi="Tahoma" w:cs="Tahoma"/>
                <w:sz w:val="22"/>
                <w:szCs w:val="22"/>
              </w:rPr>
              <w:t>0,</w:t>
            </w:r>
            <w:r w:rsidR="00D15DCE" w:rsidRPr="00D15DCE">
              <w:rPr>
                <w:rFonts w:ascii="Tahoma" w:hAnsi="Tahoma" w:cs="Tahoma"/>
                <w:sz w:val="22"/>
                <w:szCs w:val="22"/>
              </w:rPr>
              <w:t>52</w:t>
            </w:r>
            <w:r w:rsidRPr="00D15DCE">
              <w:rPr>
                <w:rFonts w:ascii="Tahoma" w:hAnsi="Tahoma" w:cs="Tahoma"/>
                <w:sz w:val="22"/>
                <w:szCs w:val="22"/>
              </w:rPr>
              <w:t>%</w:t>
            </w:r>
          </w:p>
        </w:tc>
      </w:tr>
      <w:tr w:rsidR="005D558A" w:rsidRPr="00141874" w14:paraId="7278AEFC" w14:textId="77777777" w:rsidTr="005D558A">
        <w:tc>
          <w:tcPr>
            <w:tcW w:w="6204" w:type="dxa"/>
            <w:vAlign w:val="center"/>
          </w:tcPr>
          <w:p w14:paraId="29322097" w14:textId="77777777" w:rsidR="005D558A" w:rsidRPr="006A2F50" w:rsidRDefault="005D558A" w:rsidP="008720F2">
            <w:pPr>
              <w:rPr>
                <w:rFonts w:ascii="Tahoma" w:hAnsi="Tahoma" w:cs="Tahoma"/>
                <w:i/>
                <w:iCs/>
                <w:sz w:val="22"/>
                <w:szCs w:val="22"/>
              </w:rPr>
            </w:pPr>
            <w:r w:rsidRPr="006A2F50">
              <w:rPr>
                <w:rFonts w:ascii="Tahoma" w:hAnsi="Tahoma" w:cs="Tahoma"/>
                <w:i/>
                <w:sz w:val="22"/>
                <w:szCs w:val="22"/>
              </w:rPr>
              <w:t>Option 3 : Décès / PTIA</w:t>
            </w:r>
          </w:p>
        </w:tc>
        <w:tc>
          <w:tcPr>
            <w:tcW w:w="2693" w:type="dxa"/>
            <w:vAlign w:val="center"/>
          </w:tcPr>
          <w:p w14:paraId="031908F1" w14:textId="77777777" w:rsidR="005D558A" w:rsidRPr="00D15DCE" w:rsidRDefault="005D558A" w:rsidP="00D15DCE">
            <w:pPr>
              <w:jc w:val="center"/>
              <w:rPr>
                <w:rFonts w:ascii="Tahoma" w:hAnsi="Tahoma" w:cs="Tahoma"/>
                <w:sz w:val="22"/>
                <w:szCs w:val="22"/>
              </w:rPr>
            </w:pPr>
            <w:r w:rsidRPr="00D15DCE">
              <w:rPr>
                <w:rFonts w:ascii="Tahoma" w:hAnsi="Tahoma" w:cs="Tahoma"/>
                <w:sz w:val="22"/>
                <w:szCs w:val="22"/>
              </w:rPr>
              <w:t>0,</w:t>
            </w:r>
            <w:r w:rsidR="00D15DCE" w:rsidRPr="00D15DCE">
              <w:rPr>
                <w:rFonts w:ascii="Tahoma" w:hAnsi="Tahoma" w:cs="Tahoma"/>
                <w:sz w:val="22"/>
                <w:szCs w:val="22"/>
              </w:rPr>
              <w:t>24</w:t>
            </w:r>
            <w:r w:rsidRPr="00D15DCE">
              <w:rPr>
                <w:rFonts w:ascii="Tahoma" w:hAnsi="Tahoma" w:cs="Tahoma"/>
                <w:sz w:val="22"/>
                <w:szCs w:val="22"/>
              </w:rPr>
              <w:t>%</w:t>
            </w:r>
          </w:p>
        </w:tc>
      </w:tr>
      <w:tr w:rsidR="005D558A" w:rsidRPr="00141874" w14:paraId="015EADBD" w14:textId="77777777" w:rsidTr="005D558A">
        <w:tc>
          <w:tcPr>
            <w:tcW w:w="6204" w:type="dxa"/>
            <w:vAlign w:val="center"/>
          </w:tcPr>
          <w:p w14:paraId="1ADDE48D" w14:textId="77777777" w:rsidR="005D558A" w:rsidRPr="006A2F50" w:rsidRDefault="005D558A" w:rsidP="008720F2">
            <w:pPr>
              <w:rPr>
                <w:rFonts w:ascii="Tahoma" w:hAnsi="Tahoma" w:cs="Tahoma"/>
                <w:i/>
                <w:sz w:val="22"/>
                <w:szCs w:val="22"/>
              </w:rPr>
            </w:pPr>
            <w:r w:rsidRPr="006A2F50">
              <w:rPr>
                <w:rFonts w:ascii="Tahoma" w:hAnsi="Tahoma" w:cs="Tahoma"/>
                <w:i/>
                <w:sz w:val="22"/>
                <w:szCs w:val="22"/>
              </w:rPr>
              <w:t>Option 4 : Régime indemnitaire</w:t>
            </w:r>
          </w:p>
        </w:tc>
        <w:tc>
          <w:tcPr>
            <w:tcW w:w="2693" w:type="dxa"/>
            <w:vAlign w:val="center"/>
          </w:tcPr>
          <w:p w14:paraId="4D95A819" w14:textId="77777777" w:rsidR="005D558A" w:rsidRPr="00141874" w:rsidRDefault="00AB16EE" w:rsidP="00AB16EE">
            <w:pPr>
              <w:jc w:val="center"/>
              <w:rPr>
                <w:rFonts w:ascii="Tahoma" w:hAnsi="Tahoma" w:cs="Tahoma"/>
                <w:sz w:val="22"/>
                <w:szCs w:val="22"/>
              </w:rPr>
            </w:pPr>
            <w:r>
              <w:rPr>
                <w:rFonts w:ascii="Tahoma" w:hAnsi="Tahoma" w:cs="Tahoma"/>
                <w:sz w:val="22"/>
                <w:szCs w:val="22"/>
              </w:rPr>
              <w:t>0,00%</w:t>
            </w:r>
            <w:r w:rsidRPr="00AB16EE">
              <w:rPr>
                <w:rFonts w:ascii="Tahoma" w:hAnsi="Tahoma" w:cs="Tahoma"/>
                <w:sz w:val="22"/>
                <w:szCs w:val="22"/>
                <w:vertAlign w:val="superscript"/>
              </w:rPr>
              <w:t>1</w:t>
            </w:r>
          </w:p>
        </w:tc>
      </w:tr>
    </w:tbl>
    <w:p w14:paraId="283BD94B" w14:textId="77777777" w:rsidR="00F07FF1" w:rsidRPr="00AB16EE" w:rsidRDefault="00AB16EE" w:rsidP="00AB16EE">
      <w:pPr>
        <w:pStyle w:val="Paragraphedeliste"/>
        <w:numPr>
          <w:ilvl w:val="0"/>
          <w:numId w:val="13"/>
        </w:numPr>
        <w:rPr>
          <w:rFonts w:ascii="Tahoma" w:hAnsi="Tahoma" w:cs="Tahoma"/>
          <w:i/>
          <w:iCs/>
          <w:u w:val="single"/>
        </w:rPr>
      </w:pPr>
      <w:r w:rsidRPr="00AB16EE">
        <w:rPr>
          <w:rFonts w:ascii="Tahoma" w:hAnsi="Tahoma" w:cs="Tahoma"/>
          <w:i/>
          <w:iCs/>
        </w:rPr>
        <w:t>S’ajoute à l’assiette de base (voir art. 5)</w:t>
      </w:r>
    </w:p>
    <w:p w14:paraId="1B0BDD7A" w14:textId="77777777" w:rsidR="00A61010" w:rsidRPr="00141874" w:rsidRDefault="00A61010" w:rsidP="00A61010">
      <w:pPr>
        <w:suppressAutoHyphens w:val="0"/>
        <w:autoSpaceDE w:val="0"/>
        <w:autoSpaceDN w:val="0"/>
        <w:adjustRightInd w:val="0"/>
        <w:spacing w:line="240" w:lineRule="auto"/>
        <w:rPr>
          <w:rFonts w:ascii="Tahoma" w:hAnsi="Tahoma" w:cs="Tahoma"/>
          <w:b/>
          <w:sz w:val="22"/>
          <w:szCs w:val="22"/>
          <w:u w:val="single"/>
        </w:rPr>
      </w:pPr>
      <w:r w:rsidRPr="00141874">
        <w:rPr>
          <w:rFonts w:ascii="Tahoma" w:hAnsi="Tahoma" w:cs="Tahoma"/>
          <w:b/>
          <w:sz w:val="22"/>
          <w:szCs w:val="22"/>
          <w:u w:val="single"/>
        </w:rPr>
        <w:t xml:space="preserve">Article </w:t>
      </w:r>
      <w:r w:rsidR="00F67C1E" w:rsidRPr="00141874">
        <w:rPr>
          <w:rFonts w:ascii="Tahoma" w:hAnsi="Tahoma" w:cs="Tahoma"/>
          <w:b/>
          <w:sz w:val="22"/>
          <w:szCs w:val="22"/>
          <w:u w:val="single"/>
        </w:rPr>
        <w:t>5</w:t>
      </w:r>
      <w:r w:rsidRPr="00141874">
        <w:rPr>
          <w:rFonts w:ascii="Tahoma" w:hAnsi="Tahoma" w:cs="Tahoma"/>
          <w:b/>
          <w:sz w:val="22"/>
          <w:szCs w:val="22"/>
          <w:u w:val="single"/>
        </w:rPr>
        <w:t> : Assiette de cotisation</w:t>
      </w:r>
    </w:p>
    <w:p w14:paraId="313C5E63" w14:textId="77777777" w:rsidR="00F61BF1" w:rsidRPr="00141874" w:rsidRDefault="00F61BF1" w:rsidP="00A61010">
      <w:pPr>
        <w:suppressAutoHyphens w:val="0"/>
        <w:autoSpaceDE w:val="0"/>
        <w:autoSpaceDN w:val="0"/>
        <w:adjustRightInd w:val="0"/>
        <w:spacing w:line="240" w:lineRule="auto"/>
        <w:rPr>
          <w:rFonts w:ascii="Tahoma" w:hAnsi="Tahoma" w:cs="Tahoma"/>
          <w:b/>
          <w:sz w:val="22"/>
          <w:szCs w:val="22"/>
          <w:u w:val="single"/>
        </w:rPr>
      </w:pPr>
    </w:p>
    <w:p w14:paraId="73FDBB9D" w14:textId="77777777" w:rsidR="00A61010" w:rsidRPr="00141874" w:rsidRDefault="00A61010" w:rsidP="00A61010">
      <w:pPr>
        <w:suppressAutoHyphens w:val="0"/>
        <w:spacing w:line="240" w:lineRule="auto"/>
        <w:rPr>
          <w:rFonts w:ascii="Tahoma" w:eastAsia="Calibri" w:hAnsi="Tahoma" w:cs="Tahoma"/>
          <w:sz w:val="22"/>
          <w:szCs w:val="22"/>
          <w:lang w:eastAsia="en-US"/>
        </w:rPr>
      </w:pPr>
      <w:r w:rsidRPr="00A5643B">
        <w:rPr>
          <w:rFonts w:ascii="Tahoma" w:eastAsia="Calibri" w:hAnsi="Tahoma" w:cs="Tahoma"/>
          <w:sz w:val="22"/>
          <w:szCs w:val="22"/>
          <w:lang w:eastAsia="en-US"/>
        </w:rPr>
        <w:t>Le traitement de référence servant de base aux calculs des cotisations est</w:t>
      </w:r>
      <w:r w:rsidR="006A2F50">
        <w:rPr>
          <w:rFonts w:ascii="Tahoma" w:eastAsia="Calibri" w:hAnsi="Tahoma" w:cs="Tahoma"/>
          <w:sz w:val="22"/>
          <w:szCs w:val="22"/>
          <w:lang w:eastAsia="en-US"/>
        </w:rPr>
        <w:t xml:space="preserve"> </w:t>
      </w:r>
      <w:r w:rsidRPr="00141874">
        <w:rPr>
          <w:rFonts w:ascii="Tahoma" w:eastAsia="Calibri" w:hAnsi="Tahoma" w:cs="Tahoma"/>
          <w:sz w:val="22"/>
          <w:szCs w:val="22"/>
          <w:lang w:eastAsia="en-US"/>
        </w:rPr>
        <w:t>défini comme étant la somme de :</w:t>
      </w:r>
    </w:p>
    <w:p w14:paraId="68136EB4" w14:textId="77777777" w:rsidR="00A61010" w:rsidRPr="00141874" w:rsidRDefault="00A61010" w:rsidP="00A61010">
      <w:pPr>
        <w:suppressAutoHyphens w:val="0"/>
        <w:spacing w:line="240" w:lineRule="auto"/>
        <w:rPr>
          <w:rFonts w:ascii="Tahoma" w:eastAsia="Calibri" w:hAnsi="Tahoma" w:cs="Tahoma"/>
          <w:sz w:val="22"/>
          <w:szCs w:val="22"/>
          <w:u w:val="single"/>
          <w:lang w:eastAsia="en-US"/>
        </w:rPr>
      </w:pPr>
    </w:p>
    <w:p w14:paraId="4C8AF0F1" w14:textId="77777777" w:rsidR="00A61010" w:rsidRPr="00141874" w:rsidRDefault="00271D58" w:rsidP="00A61010">
      <w:pPr>
        <w:suppressAutoHyphens w:val="0"/>
        <w:spacing w:line="240" w:lineRule="auto"/>
        <w:rPr>
          <w:rFonts w:ascii="Tahoma" w:eastAsia="Calibri" w:hAnsi="Tahoma" w:cs="Tahoma"/>
          <w:sz w:val="22"/>
          <w:szCs w:val="22"/>
          <w:lang w:eastAsia="en-US"/>
        </w:rPr>
      </w:pPr>
      <w:r w:rsidRPr="00141874">
        <w:rPr>
          <w:rFonts w:ascii="Tahoma" w:eastAsia="Calibri" w:hAnsi="Tahoma" w:cs="Tahoma"/>
          <w:sz w:val="22"/>
          <w:szCs w:val="22"/>
          <w:lang w:eastAsia="en-US"/>
        </w:rPr>
        <w:t xml:space="preserve">Traitement Indiciaire Brut </w:t>
      </w:r>
      <w:r w:rsidR="00A61010" w:rsidRPr="00141874">
        <w:rPr>
          <w:rFonts w:ascii="Tahoma" w:eastAsia="Calibri" w:hAnsi="Tahoma" w:cs="Tahoma"/>
          <w:sz w:val="22"/>
          <w:szCs w:val="22"/>
          <w:lang w:eastAsia="en-US"/>
        </w:rPr>
        <w:t>(TIB) + Nouvell</w:t>
      </w:r>
      <w:r w:rsidR="006A2F50">
        <w:rPr>
          <w:rFonts w:ascii="Tahoma" w:eastAsia="Calibri" w:hAnsi="Tahoma" w:cs="Tahoma"/>
          <w:sz w:val="22"/>
          <w:szCs w:val="22"/>
          <w:lang w:eastAsia="en-US"/>
        </w:rPr>
        <w:t>e Bonification Indiciaire (NBI)</w:t>
      </w:r>
    </w:p>
    <w:p w14:paraId="094A2991" w14:textId="77777777" w:rsidR="00F67C1E" w:rsidRPr="00141874" w:rsidRDefault="00F67C1E" w:rsidP="00A61010">
      <w:pPr>
        <w:suppressAutoHyphens w:val="0"/>
        <w:spacing w:line="240" w:lineRule="auto"/>
        <w:rPr>
          <w:rFonts w:ascii="Tahoma" w:eastAsia="Calibri" w:hAnsi="Tahoma" w:cs="Tahoma"/>
          <w:sz w:val="22"/>
          <w:szCs w:val="22"/>
          <w:lang w:eastAsia="en-US"/>
        </w:rPr>
      </w:pPr>
    </w:p>
    <w:p w14:paraId="7D29553F" w14:textId="77777777" w:rsidR="00A61010" w:rsidRDefault="00A61010" w:rsidP="00A61010">
      <w:pPr>
        <w:suppressAutoHyphens w:val="0"/>
        <w:spacing w:line="240" w:lineRule="auto"/>
        <w:rPr>
          <w:rFonts w:ascii="Tahoma" w:eastAsia="Calibri" w:hAnsi="Tahoma" w:cs="Tahoma"/>
          <w:sz w:val="22"/>
          <w:szCs w:val="22"/>
          <w:lang w:eastAsia="en-US"/>
        </w:rPr>
      </w:pPr>
      <w:r w:rsidRPr="00141874">
        <w:rPr>
          <w:rFonts w:ascii="Tahoma" w:eastAsia="Calibri" w:hAnsi="Tahoma" w:cs="Tahoma"/>
          <w:sz w:val="22"/>
          <w:szCs w:val="22"/>
          <w:lang w:eastAsia="en-US"/>
        </w:rPr>
        <w:t>Par NBI, il faut entendre la majoration indiciaire octroyée par l’employeur lorsque l’agent occupe une fonction ouvrant droit à ladite NBI.</w:t>
      </w:r>
    </w:p>
    <w:p w14:paraId="35B84D38" w14:textId="77777777" w:rsidR="00A5643B" w:rsidRDefault="00A5643B" w:rsidP="00A61010">
      <w:pPr>
        <w:suppressAutoHyphens w:val="0"/>
        <w:spacing w:line="240" w:lineRule="auto"/>
        <w:rPr>
          <w:rFonts w:ascii="Tahoma" w:eastAsia="Calibri" w:hAnsi="Tahoma" w:cs="Tahoma"/>
          <w:sz w:val="22"/>
          <w:szCs w:val="22"/>
          <w:lang w:eastAsia="en-US"/>
        </w:rPr>
      </w:pPr>
    </w:p>
    <w:p w14:paraId="7A773695" w14:textId="77777777" w:rsidR="00A5643B" w:rsidRPr="00141874" w:rsidRDefault="00A5643B" w:rsidP="00A5643B">
      <w:pPr>
        <w:suppressAutoHyphens w:val="0"/>
        <w:spacing w:line="240" w:lineRule="auto"/>
        <w:rPr>
          <w:rFonts w:ascii="Tahoma" w:eastAsia="Calibri" w:hAnsi="Tahoma" w:cs="Tahoma"/>
          <w:sz w:val="22"/>
          <w:szCs w:val="22"/>
          <w:lang w:eastAsia="en-US"/>
        </w:rPr>
      </w:pPr>
      <w:r>
        <w:rPr>
          <w:rFonts w:ascii="Tahoma" w:eastAsia="Calibri" w:hAnsi="Tahoma" w:cs="Tahoma"/>
          <w:sz w:val="22"/>
          <w:szCs w:val="22"/>
          <w:lang w:eastAsia="en-US"/>
        </w:rPr>
        <w:t>A</w:t>
      </w:r>
      <w:r w:rsidRPr="00A5643B">
        <w:rPr>
          <w:rFonts w:ascii="Tahoma" w:eastAsia="Calibri" w:hAnsi="Tahoma" w:cs="Tahoma"/>
          <w:sz w:val="22"/>
          <w:szCs w:val="22"/>
          <w:lang w:eastAsia="en-US"/>
        </w:rPr>
        <w:t>u choix de l'agent, pour les garanties incapacité et invalidité</w:t>
      </w:r>
      <w:r w:rsidR="006A2F50">
        <w:rPr>
          <w:rFonts w:ascii="Tahoma" w:eastAsia="Calibri" w:hAnsi="Tahoma" w:cs="Tahoma"/>
          <w:sz w:val="22"/>
          <w:szCs w:val="22"/>
          <w:lang w:eastAsia="en-US"/>
        </w:rPr>
        <w:t> :</w:t>
      </w:r>
      <w:r w:rsidRPr="00A5643B">
        <w:rPr>
          <w:rFonts w:ascii="Tahoma" w:eastAsia="Calibri" w:hAnsi="Tahoma" w:cs="Tahoma"/>
          <w:sz w:val="22"/>
          <w:szCs w:val="22"/>
          <w:lang w:eastAsia="en-US"/>
        </w:rPr>
        <w:t xml:space="preserve"> les éléments du </w:t>
      </w:r>
      <w:r w:rsidR="00ED11A5">
        <w:rPr>
          <w:rFonts w:ascii="Tahoma" w:eastAsia="Calibri" w:hAnsi="Tahoma" w:cs="Tahoma"/>
          <w:sz w:val="22"/>
          <w:szCs w:val="22"/>
          <w:lang w:eastAsia="en-US"/>
        </w:rPr>
        <w:t>r</w:t>
      </w:r>
      <w:r w:rsidRPr="00A5643B">
        <w:rPr>
          <w:rFonts w:ascii="Tahoma" w:eastAsia="Calibri" w:hAnsi="Tahoma" w:cs="Tahoma"/>
          <w:sz w:val="22"/>
          <w:szCs w:val="22"/>
          <w:lang w:eastAsia="en-US"/>
        </w:rPr>
        <w:t>égime indemnitaire susceptibles d'être</w:t>
      </w:r>
      <w:r>
        <w:rPr>
          <w:rFonts w:ascii="Tahoma" w:eastAsia="Calibri" w:hAnsi="Tahoma" w:cs="Tahoma"/>
          <w:sz w:val="22"/>
          <w:szCs w:val="22"/>
          <w:lang w:eastAsia="en-US"/>
        </w:rPr>
        <w:t xml:space="preserve"> </w:t>
      </w:r>
      <w:r w:rsidRPr="00A5643B">
        <w:rPr>
          <w:rFonts w:ascii="Tahoma" w:eastAsia="Calibri" w:hAnsi="Tahoma" w:cs="Tahoma"/>
          <w:sz w:val="22"/>
          <w:szCs w:val="22"/>
          <w:lang w:eastAsia="en-US"/>
        </w:rPr>
        <w:t>perdus en cas de congés.</w:t>
      </w:r>
    </w:p>
    <w:p w14:paraId="4A75D8C8" w14:textId="77777777" w:rsidR="000C50DB" w:rsidRDefault="000C50DB" w:rsidP="00A61010">
      <w:pPr>
        <w:suppressAutoHyphens w:val="0"/>
        <w:spacing w:line="240" w:lineRule="auto"/>
        <w:rPr>
          <w:rFonts w:ascii="Tahoma" w:eastAsia="Calibri" w:hAnsi="Tahoma" w:cs="Tahoma"/>
          <w:sz w:val="22"/>
          <w:szCs w:val="22"/>
          <w:lang w:eastAsia="en-US"/>
        </w:rPr>
      </w:pPr>
    </w:p>
    <w:p w14:paraId="260A44CD" w14:textId="77777777" w:rsidR="00A61010" w:rsidRPr="00141874" w:rsidRDefault="004D2F6A" w:rsidP="00A61010">
      <w:pPr>
        <w:suppressAutoHyphens w:val="0"/>
        <w:spacing w:line="240" w:lineRule="auto"/>
        <w:rPr>
          <w:rFonts w:ascii="Tahoma" w:eastAsia="Calibri" w:hAnsi="Tahoma" w:cs="Tahoma"/>
          <w:b/>
          <w:sz w:val="22"/>
          <w:szCs w:val="22"/>
          <w:u w:val="single"/>
          <w:lang w:eastAsia="en-US"/>
        </w:rPr>
      </w:pPr>
      <w:r>
        <w:rPr>
          <w:rFonts w:ascii="Tahoma" w:hAnsi="Tahoma" w:cs="Tahoma"/>
          <w:noProof/>
          <w:sz w:val="22"/>
          <w:szCs w:val="22"/>
        </w:rPr>
        <w:pict w14:anchorId="56BCCD8B">
          <v:line id="Connecteur droit 1" o:spid="_x0000_s1027" style="position:absolute;left:0;text-align:left;flip:x y;z-index:251657216;visibility:visible" from="337.15pt,2.1pt" to="33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" strokecolor="#4a7ebb">
            <o:lock v:ext="edit" shapetype="f"/>
          </v:line>
        </w:pict>
      </w:r>
      <w:r w:rsidR="00A61010" w:rsidRPr="00141874">
        <w:rPr>
          <w:rFonts w:ascii="Tahoma" w:eastAsia="Calibri" w:hAnsi="Tahoma" w:cs="Tahoma"/>
          <w:b/>
          <w:sz w:val="22"/>
          <w:szCs w:val="22"/>
          <w:u w:val="single"/>
          <w:lang w:eastAsia="en-US"/>
        </w:rPr>
        <w:t xml:space="preserve">Article </w:t>
      </w:r>
      <w:r w:rsidR="00FB557F" w:rsidRPr="00141874">
        <w:rPr>
          <w:rFonts w:ascii="Tahoma" w:eastAsia="Calibri" w:hAnsi="Tahoma" w:cs="Tahoma"/>
          <w:b/>
          <w:sz w:val="22"/>
          <w:szCs w:val="22"/>
          <w:u w:val="single"/>
          <w:lang w:eastAsia="en-US"/>
        </w:rPr>
        <w:t>6</w:t>
      </w:r>
      <w:r w:rsidR="00A61010" w:rsidRPr="00141874">
        <w:rPr>
          <w:rFonts w:ascii="Tahoma" w:eastAsia="Calibri" w:hAnsi="Tahoma" w:cs="Tahoma"/>
          <w:b/>
          <w:sz w:val="22"/>
          <w:szCs w:val="22"/>
          <w:u w:val="single"/>
          <w:lang w:eastAsia="en-US"/>
        </w:rPr>
        <w:t> : Base de calcul des prestations</w:t>
      </w:r>
    </w:p>
    <w:p w14:paraId="72FE45A2" w14:textId="77777777" w:rsidR="00A61010" w:rsidRPr="00141874" w:rsidRDefault="00A61010" w:rsidP="00A61010">
      <w:pPr>
        <w:suppressAutoHyphens w:val="0"/>
        <w:spacing w:line="240" w:lineRule="auto"/>
        <w:rPr>
          <w:rFonts w:ascii="Tahoma" w:eastAsia="Calibri" w:hAnsi="Tahoma" w:cs="Tahoma"/>
          <w:b/>
          <w:sz w:val="22"/>
          <w:szCs w:val="22"/>
          <w:u w:val="single"/>
          <w:lang w:eastAsia="en-US"/>
        </w:rPr>
      </w:pPr>
    </w:p>
    <w:p w14:paraId="1FC25DE7" w14:textId="77777777" w:rsidR="00A61010" w:rsidRPr="00141874" w:rsidRDefault="00A61010" w:rsidP="00A61010">
      <w:pPr>
        <w:suppressAutoHyphens w:val="0"/>
        <w:spacing w:line="240" w:lineRule="auto"/>
        <w:rPr>
          <w:rFonts w:ascii="Tahoma" w:eastAsia="Calibri" w:hAnsi="Tahoma" w:cs="Tahoma"/>
          <w:sz w:val="22"/>
          <w:szCs w:val="22"/>
          <w:lang w:eastAsia="en-US"/>
        </w:rPr>
      </w:pPr>
      <w:r w:rsidRPr="00141874">
        <w:rPr>
          <w:rFonts w:ascii="Tahoma" w:eastAsia="Calibri" w:hAnsi="Tahoma" w:cs="Tahoma"/>
          <w:sz w:val="22"/>
          <w:szCs w:val="22"/>
          <w:lang w:eastAsia="en-US"/>
        </w:rPr>
        <w:t>S’agissant du calcul des prestations, la base de garantie est définie comme étant le traitement de r</w:t>
      </w:r>
      <w:r w:rsidR="005C2C60" w:rsidRPr="00141874">
        <w:rPr>
          <w:rFonts w:ascii="Tahoma" w:eastAsia="Calibri" w:hAnsi="Tahoma" w:cs="Tahoma"/>
          <w:sz w:val="22"/>
          <w:szCs w:val="22"/>
          <w:lang w:eastAsia="en-US"/>
        </w:rPr>
        <w:t xml:space="preserve">éférence net, y compris NBI </w:t>
      </w:r>
      <w:r w:rsidR="00663F9E" w:rsidRPr="00141874">
        <w:rPr>
          <w:rFonts w:ascii="Tahoma" w:eastAsia="Calibri" w:hAnsi="Tahoma" w:cs="Tahoma"/>
          <w:sz w:val="22"/>
          <w:szCs w:val="22"/>
          <w:lang w:eastAsia="en-US"/>
        </w:rPr>
        <w:t xml:space="preserve">et </w:t>
      </w:r>
      <w:r w:rsidR="00663F9E">
        <w:rPr>
          <w:rFonts w:ascii="Tahoma" w:eastAsia="Calibri" w:hAnsi="Tahoma" w:cs="Tahoma"/>
          <w:sz w:val="22"/>
          <w:szCs w:val="22"/>
          <w:lang w:eastAsia="en-US"/>
        </w:rPr>
        <w:t>éventuellement le régime i</w:t>
      </w:r>
      <w:r w:rsidRPr="00141874">
        <w:rPr>
          <w:rFonts w:ascii="Tahoma" w:eastAsia="Calibri" w:hAnsi="Tahoma" w:cs="Tahoma"/>
          <w:sz w:val="22"/>
          <w:szCs w:val="22"/>
          <w:lang w:eastAsia="en-US"/>
        </w:rPr>
        <w:t>ndemnitaire que l’agent aurait perçu s’il n’avait pas cessé son activité à la date de prise en charge.</w:t>
      </w:r>
    </w:p>
    <w:p w14:paraId="7E9918BE" w14:textId="77777777" w:rsidR="00A61010" w:rsidRPr="00141874" w:rsidRDefault="00A61010" w:rsidP="00A61010">
      <w:pPr>
        <w:rPr>
          <w:rFonts w:ascii="Tahoma" w:hAnsi="Tahoma" w:cs="Tahoma"/>
          <w:sz w:val="22"/>
          <w:szCs w:val="22"/>
        </w:rPr>
      </w:pPr>
    </w:p>
    <w:p w14:paraId="52572935" w14:textId="77777777" w:rsidR="00A61010" w:rsidRPr="00141874" w:rsidRDefault="00A61010" w:rsidP="00A61010">
      <w:pPr>
        <w:pStyle w:val="Titre1"/>
        <w:numPr>
          <w:ilvl w:val="0"/>
          <w:numId w:val="0"/>
        </w:numPr>
        <w:pBdr>
          <w:bottom w:val="none" w:sz="0" w:space="0" w:color="auto"/>
        </w:pBdr>
        <w:spacing w:before="0" w:after="0" w:line="240" w:lineRule="auto"/>
        <w:rPr>
          <w:rFonts w:ascii="Tahoma" w:hAnsi="Tahoma" w:cs="Tahoma"/>
          <w:smallCaps w:val="0"/>
          <w:kern w:val="20"/>
          <w:sz w:val="22"/>
          <w:szCs w:val="22"/>
          <w:u w:val="single"/>
        </w:rPr>
      </w:pPr>
      <w:r w:rsidRPr="00141874">
        <w:rPr>
          <w:rFonts w:ascii="Tahoma" w:hAnsi="Tahoma" w:cs="Tahoma"/>
          <w:smallCaps w:val="0"/>
          <w:kern w:val="20"/>
          <w:sz w:val="22"/>
          <w:szCs w:val="22"/>
          <w:u w:val="single"/>
        </w:rPr>
        <w:t>Article 7</w:t>
      </w:r>
      <w:r w:rsidR="00663F9E">
        <w:rPr>
          <w:rFonts w:ascii="Tahoma" w:hAnsi="Tahoma" w:cs="Tahoma"/>
          <w:smallCaps w:val="0"/>
          <w:kern w:val="20"/>
          <w:sz w:val="22"/>
          <w:szCs w:val="22"/>
          <w:u w:val="single"/>
        </w:rPr>
        <w:t xml:space="preserve"> </w:t>
      </w:r>
      <w:r w:rsidRPr="00141874">
        <w:rPr>
          <w:rFonts w:ascii="Tahoma" w:hAnsi="Tahoma" w:cs="Tahoma"/>
          <w:smallCaps w:val="0"/>
          <w:kern w:val="20"/>
          <w:sz w:val="22"/>
          <w:szCs w:val="22"/>
          <w:u w:val="single"/>
        </w:rPr>
        <w:t>: Obligations de la Collectivité</w:t>
      </w:r>
    </w:p>
    <w:p w14:paraId="74D4BD94" w14:textId="77777777" w:rsidR="00A61010" w:rsidRPr="00141874" w:rsidRDefault="00A61010" w:rsidP="00A61010">
      <w:pPr>
        <w:spacing w:line="240" w:lineRule="auto"/>
        <w:rPr>
          <w:rFonts w:ascii="Tahoma" w:hAnsi="Tahoma" w:cs="Tahoma"/>
          <w:sz w:val="22"/>
          <w:szCs w:val="22"/>
        </w:rPr>
      </w:pPr>
    </w:p>
    <w:p w14:paraId="2079C31D" w14:textId="77777777" w:rsidR="00A61010" w:rsidRPr="00141874" w:rsidRDefault="00A61010" w:rsidP="006A2F50">
      <w:pPr>
        <w:spacing w:after="120" w:line="240" w:lineRule="auto"/>
        <w:rPr>
          <w:rFonts w:ascii="Tahoma" w:hAnsi="Tahoma" w:cs="Tahoma"/>
          <w:sz w:val="22"/>
          <w:szCs w:val="22"/>
        </w:rPr>
      </w:pPr>
      <w:r w:rsidRPr="00141874">
        <w:rPr>
          <w:rFonts w:ascii="Tahoma" w:hAnsi="Tahoma" w:cs="Tahoma"/>
          <w:sz w:val="22"/>
          <w:szCs w:val="22"/>
        </w:rPr>
        <w:t>La collectivité s’engage à :</w:t>
      </w:r>
    </w:p>
    <w:p w14:paraId="7A3EFC2F" w14:textId="77777777" w:rsidR="00A5643B" w:rsidRDefault="00A5643B" w:rsidP="00A61010">
      <w:pPr>
        <w:numPr>
          <w:ilvl w:val="0"/>
          <w:numId w:val="4"/>
        </w:numPr>
        <w:spacing w:line="240" w:lineRule="auto"/>
        <w:rPr>
          <w:rFonts w:ascii="Tahoma" w:hAnsi="Tahoma" w:cs="Tahoma"/>
          <w:sz w:val="22"/>
          <w:szCs w:val="22"/>
        </w:rPr>
      </w:pPr>
      <w:r>
        <w:rPr>
          <w:rFonts w:ascii="Tahoma" w:hAnsi="Tahoma" w:cs="Tahoma"/>
          <w:sz w:val="22"/>
          <w:szCs w:val="22"/>
        </w:rPr>
        <w:t>Faciliter la communication du no</w:t>
      </w:r>
      <w:r w:rsidR="006A2F50">
        <w:rPr>
          <w:rFonts w:ascii="Tahoma" w:hAnsi="Tahoma" w:cs="Tahoma"/>
          <w:sz w:val="22"/>
          <w:szCs w:val="22"/>
        </w:rPr>
        <w:t>uveau contrat auprès des agents,</w:t>
      </w:r>
    </w:p>
    <w:p w14:paraId="5D5D904F" w14:textId="77777777" w:rsidR="00A61010" w:rsidRPr="00141874" w:rsidRDefault="00E35481" w:rsidP="00A61010">
      <w:pPr>
        <w:numPr>
          <w:ilvl w:val="0"/>
          <w:numId w:val="4"/>
        </w:numPr>
        <w:spacing w:line="240" w:lineRule="auto"/>
        <w:rPr>
          <w:rFonts w:ascii="Tahoma" w:hAnsi="Tahoma" w:cs="Tahoma"/>
          <w:sz w:val="22"/>
          <w:szCs w:val="22"/>
        </w:rPr>
      </w:pPr>
      <w:r w:rsidRPr="00141874">
        <w:rPr>
          <w:rFonts w:ascii="Tahoma" w:hAnsi="Tahoma" w:cs="Tahoma"/>
          <w:sz w:val="22"/>
          <w:szCs w:val="22"/>
        </w:rPr>
        <w:t>F</w:t>
      </w:r>
      <w:r w:rsidR="00A61010" w:rsidRPr="00141874">
        <w:rPr>
          <w:rFonts w:ascii="Tahoma" w:hAnsi="Tahoma" w:cs="Tahoma"/>
          <w:sz w:val="22"/>
          <w:szCs w:val="22"/>
        </w:rPr>
        <w:t>ournir les informations nécessaires à la constitution du dossie</w:t>
      </w:r>
      <w:r w:rsidR="001B4D69">
        <w:rPr>
          <w:rFonts w:ascii="Tahoma" w:hAnsi="Tahoma" w:cs="Tahoma"/>
          <w:sz w:val="22"/>
          <w:szCs w:val="22"/>
        </w:rPr>
        <w:t>r d’adhésion de la collectivité,</w:t>
      </w:r>
    </w:p>
    <w:p w14:paraId="6975FCA4" w14:textId="77777777" w:rsidR="00A61010" w:rsidRPr="00141874" w:rsidRDefault="00A61010" w:rsidP="00A61010">
      <w:pPr>
        <w:numPr>
          <w:ilvl w:val="0"/>
          <w:numId w:val="4"/>
        </w:numPr>
        <w:spacing w:line="240" w:lineRule="auto"/>
        <w:rPr>
          <w:rFonts w:ascii="Tahoma" w:hAnsi="Tahoma" w:cs="Tahoma"/>
          <w:sz w:val="22"/>
          <w:szCs w:val="22"/>
        </w:rPr>
      </w:pPr>
      <w:r w:rsidRPr="00141874">
        <w:rPr>
          <w:rFonts w:ascii="Tahoma" w:hAnsi="Tahoma" w:cs="Tahoma"/>
          <w:sz w:val="22"/>
          <w:szCs w:val="22"/>
        </w:rPr>
        <w:t xml:space="preserve">Régler les cotisations directement auprès </w:t>
      </w:r>
      <w:r w:rsidR="00663F9E">
        <w:rPr>
          <w:rFonts w:ascii="Tahoma" w:hAnsi="Tahoma" w:cs="Tahoma"/>
          <w:sz w:val="22"/>
          <w:szCs w:val="22"/>
        </w:rPr>
        <w:t>d</w:t>
      </w:r>
      <w:r w:rsidR="00FB0545">
        <w:rPr>
          <w:rFonts w:ascii="Tahoma" w:hAnsi="Tahoma" w:cs="Tahoma"/>
          <w:sz w:val="22"/>
          <w:szCs w:val="22"/>
        </w:rPr>
        <w:t>u</w:t>
      </w:r>
      <w:r w:rsidR="00663F9E">
        <w:rPr>
          <w:rFonts w:ascii="Tahoma" w:hAnsi="Tahoma" w:cs="Tahoma"/>
          <w:sz w:val="22"/>
          <w:szCs w:val="22"/>
        </w:rPr>
        <w:t xml:space="preserve"> </w:t>
      </w:r>
      <w:r w:rsidR="00FB0545">
        <w:rPr>
          <w:rFonts w:ascii="Tahoma" w:hAnsi="Tahoma" w:cs="Tahoma"/>
          <w:sz w:val="22"/>
          <w:szCs w:val="22"/>
        </w:rPr>
        <w:t>groupement conjoint VYV/MNT/MGEN</w:t>
      </w:r>
      <w:r w:rsidR="001B4D69">
        <w:rPr>
          <w:rFonts w:ascii="Tahoma" w:hAnsi="Tahoma" w:cs="Tahoma"/>
          <w:sz w:val="22"/>
          <w:szCs w:val="22"/>
        </w:rPr>
        <w:t>,</w:t>
      </w:r>
    </w:p>
    <w:p w14:paraId="6E6A0687" w14:textId="77777777" w:rsidR="00F61BF1" w:rsidRPr="00141874" w:rsidRDefault="00A61010" w:rsidP="00E35481">
      <w:pPr>
        <w:numPr>
          <w:ilvl w:val="0"/>
          <w:numId w:val="4"/>
        </w:numPr>
        <w:spacing w:line="240" w:lineRule="auto"/>
        <w:rPr>
          <w:rFonts w:ascii="Tahoma" w:hAnsi="Tahoma" w:cs="Tahoma"/>
          <w:sz w:val="22"/>
          <w:szCs w:val="22"/>
        </w:rPr>
      </w:pPr>
      <w:r w:rsidRPr="00141874">
        <w:rPr>
          <w:rFonts w:ascii="Tahoma" w:hAnsi="Tahoma" w:cs="Tahoma"/>
          <w:sz w:val="22"/>
          <w:szCs w:val="22"/>
        </w:rPr>
        <w:t xml:space="preserve">Préciser les modalités particulières de son adhésion </w:t>
      </w:r>
      <w:r w:rsidR="00706BB7" w:rsidRPr="00141874">
        <w:rPr>
          <w:rFonts w:ascii="Tahoma" w:hAnsi="Tahoma" w:cs="Tahoma"/>
          <w:sz w:val="22"/>
          <w:szCs w:val="22"/>
        </w:rPr>
        <w:t>(</w:t>
      </w:r>
      <w:proofErr w:type="spellStart"/>
      <w:r w:rsidR="00706BB7" w:rsidRPr="00141874">
        <w:rPr>
          <w:rFonts w:ascii="Tahoma" w:eastAsia="Calibri" w:hAnsi="Tahoma" w:cs="Tahoma"/>
          <w:sz w:val="22"/>
          <w:szCs w:val="22"/>
          <w:lang w:eastAsia="en-US"/>
        </w:rPr>
        <w:t>cf</w:t>
      </w:r>
      <w:proofErr w:type="spellEnd"/>
      <w:r w:rsidR="00706BB7" w:rsidRPr="00141874">
        <w:rPr>
          <w:rFonts w:ascii="Tahoma" w:eastAsia="Calibri" w:hAnsi="Tahoma" w:cs="Tahoma"/>
          <w:sz w:val="22"/>
          <w:szCs w:val="22"/>
          <w:lang w:eastAsia="en-US"/>
        </w:rPr>
        <w:t xml:space="preserve"> art. 11)</w:t>
      </w:r>
      <w:r w:rsidR="001B4D69">
        <w:rPr>
          <w:rFonts w:ascii="Tahoma" w:eastAsia="Calibri" w:hAnsi="Tahoma" w:cs="Tahoma"/>
          <w:sz w:val="22"/>
          <w:szCs w:val="22"/>
          <w:lang w:eastAsia="en-US"/>
        </w:rPr>
        <w:t>.</w:t>
      </w:r>
    </w:p>
    <w:p w14:paraId="748958E8" w14:textId="77777777" w:rsidR="00E35481" w:rsidRPr="00141874" w:rsidRDefault="00E35481" w:rsidP="00E35481">
      <w:pPr>
        <w:spacing w:line="240" w:lineRule="auto"/>
        <w:rPr>
          <w:rFonts w:ascii="Tahoma" w:hAnsi="Tahoma" w:cs="Tahoma"/>
          <w:sz w:val="22"/>
          <w:szCs w:val="22"/>
        </w:rPr>
      </w:pPr>
    </w:p>
    <w:p w14:paraId="5424C3D3" w14:textId="77777777" w:rsidR="00A61010" w:rsidRPr="00141874" w:rsidRDefault="00A61010" w:rsidP="00A61010">
      <w:pPr>
        <w:pStyle w:val="Titre1"/>
        <w:numPr>
          <w:ilvl w:val="0"/>
          <w:numId w:val="0"/>
        </w:numPr>
        <w:pBdr>
          <w:bottom w:val="none" w:sz="0" w:space="0" w:color="auto"/>
        </w:pBdr>
        <w:spacing w:before="0" w:after="0" w:line="240" w:lineRule="auto"/>
        <w:rPr>
          <w:rFonts w:ascii="Tahoma" w:hAnsi="Tahoma" w:cs="Tahoma"/>
          <w:smallCaps w:val="0"/>
          <w:kern w:val="20"/>
          <w:sz w:val="22"/>
          <w:szCs w:val="22"/>
          <w:u w:val="single"/>
        </w:rPr>
      </w:pPr>
      <w:r w:rsidRPr="00141874">
        <w:rPr>
          <w:rFonts w:ascii="Tahoma" w:hAnsi="Tahoma" w:cs="Tahoma"/>
          <w:smallCaps w:val="0"/>
          <w:kern w:val="20"/>
          <w:sz w:val="22"/>
          <w:szCs w:val="22"/>
          <w:u w:val="single"/>
        </w:rPr>
        <w:t>Article 8 : Obligations du centre de gestion</w:t>
      </w:r>
    </w:p>
    <w:p w14:paraId="2179661F" w14:textId="77777777" w:rsidR="00A61010" w:rsidRPr="00141874" w:rsidRDefault="00A61010" w:rsidP="00A61010">
      <w:pPr>
        <w:spacing w:line="240" w:lineRule="auto"/>
        <w:rPr>
          <w:rFonts w:ascii="Tahoma" w:hAnsi="Tahoma" w:cs="Tahoma"/>
          <w:sz w:val="22"/>
          <w:szCs w:val="22"/>
        </w:rPr>
      </w:pPr>
    </w:p>
    <w:p w14:paraId="494F7F63" w14:textId="77777777" w:rsidR="00A61010" w:rsidRPr="00141874" w:rsidRDefault="00A61010" w:rsidP="00A61010">
      <w:pPr>
        <w:spacing w:line="240" w:lineRule="auto"/>
        <w:jc w:val="left"/>
        <w:rPr>
          <w:rFonts w:ascii="Tahoma" w:hAnsi="Tahoma" w:cs="Tahoma"/>
          <w:sz w:val="22"/>
          <w:szCs w:val="22"/>
        </w:rPr>
      </w:pPr>
      <w:r w:rsidRPr="00141874">
        <w:rPr>
          <w:rFonts w:ascii="Tahoma" w:hAnsi="Tahoma" w:cs="Tahoma"/>
          <w:sz w:val="22"/>
          <w:szCs w:val="22"/>
        </w:rPr>
        <w:t>Le CDG</w:t>
      </w:r>
      <w:r w:rsidR="00FB557F" w:rsidRPr="00141874">
        <w:rPr>
          <w:rFonts w:ascii="Tahoma" w:hAnsi="Tahoma" w:cs="Tahoma"/>
          <w:sz w:val="22"/>
          <w:szCs w:val="22"/>
        </w:rPr>
        <w:t>74</w:t>
      </w:r>
      <w:r w:rsidRPr="00141874">
        <w:rPr>
          <w:rFonts w:ascii="Tahoma" w:hAnsi="Tahoma" w:cs="Tahoma"/>
          <w:sz w:val="22"/>
          <w:szCs w:val="22"/>
        </w:rPr>
        <w:t xml:space="preserve"> s’engage à :</w:t>
      </w:r>
    </w:p>
    <w:p w14:paraId="09D6E7CA" w14:textId="77777777" w:rsidR="00A61010" w:rsidRPr="00141874" w:rsidRDefault="00A61010" w:rsidP="001B4D69">
      <w:pPr>
        <w:numPr>
          <w:ilvl w:val="0"/>
          <w:numId w:val="2"/>
        </w:numPr>
        <w:tabs>
          <w:tab w:val="clear" w:pos="357"/>
          <w:tab w:val="left" w:pos="900"/>
        </w:tabs>
        <w:spacing w:line="240" w:lineRule="auto"/>
        <w:ind w:left="709" w:hanging="352"/>
        <w:rPr>
          <w:rFonts w:ascii="Tahoma" w:hAnsi="Tahoma" w:cs="Tahoma"/>
          <w:sz w:val="22"/>
          <w:szCs w:val="22"/>
        </w:rPr>
      </w:pPr>
      <w:r w:rsidRPr="00141874">
        <w:rPr>
          <w:rFonts w:ascii="Tahoma" w:hAnsi="Tahoma" w:cs="Tahoma"/>
          <w:sz w:val="22"/>
          <w:szCs w:val="22"/>
        </w:rPr>
        <w:t xml:space="preserve">Remplir son obligation d’information vis-à-vis de la collectivité concernant le contenu de la convention de </w:t>
      </w:r>
      <w:r w:rsidR="001B4D69">
        <w:rPr>
          <w:rFonts w:ascii="Tahoma" w:hAnsi="Tahoma" w:cs="Tahoma"/>
          <w:sz w:val="22"/>
          <w:szCs w:val="22"/>
        </w:rPr>
        <w:t>participation,</w:t>
      </w:r>
    </w:p>
    <w:p w14:paraId="1486D64D" w14:textId="77777777" w:rsidR="00A61010" w:rsidRPr="00141874" w:rsidRDefault="00ED11A5" w:rsidP="001B4D69">
      <w:pPr>
        <w:numPr>
          <w:ilvl w:val="0"/>
          <w:numId w:val="3"/>
        </w:numPr>
        <w:tabs>
          <w:tab w:val="clear" w:pos="357"/>
          <w:tab w:val="left" w:pos="900"/>
        </w:tabs>
        <w:spacing w:line="240" w:lineRule="auto"/>
        <w:ind w:left="709" w:hanging="352"/>
        <w:rPr>
          <w:rFonts w:ascii="Tahoma" w:hAnsi="Tahoma" w:cs="Tahoma"/>
          <w:sz w:val="22"/>
          <w:szCs w:val="22"/>
        </w:rPr>
      </w:pPr>
      <w:r w:rsidRPr="00141874">
        <w:rPr>
          <w:rFonts w:ascii="Tahoma" w:hAnsi="Tahoma" w:cs="Tahoma"/>
          <w:sz w:val="22"/>
          <w:szCs w:val="22"/>
        </w:rPr>
        <w:t>Être</w:t>
      </w:r>
      <w:r w:rsidR="00A61010" w:rsidRPr="00141874">
        <w:rPr>
          <w:rFonts w:ascii="Tahoma" w:hAnsi="Tahoma" w:cs="Tahoma"/>
          <w:sz w:val="22"/>
          <w:szCs w:val="22"/>
        </w:rPr>
        <w:t xml:space="preserve"> l’interlocuteur des relations entre </w:t>
      </w:r>
      <w:r w:rsidR="00FB0545">
        <w:rPr>
          <w:rFonts w:ascii="Tahoma" w:hAnsi="Tahoma" w:cs="Tahoma"/>
          <w:sz w:val="22"/>
          <w:szCs w:val="22"/>
        </w:rPr>
        <w:t>le groupement conjoint VYV/MNT/MGEN</w:t>
      </w:r>
      <w:r w:rsidR="00FB0545" w:rsidRPr="00141874">
        <w:rPr>
          <w:rFonts w:ascii="Tahoma" w:hAnsi="Tahoma" w:cs="Tahoma"/>
          <w:sz w:val="22"/>
          <w:szCs w:val="22"/>
        </w:rPr>
        <w:t xml:space="preserve"> </w:t>
      </w:r>
      <w:r w:rsidR="00A61010" w:rsidRPr="00141874">
        <w:rPr>
          <w:rFonts w:ascii="Tahoma" w:hAnsi="Tahoma" w:cs="Tahoma"/>
          <w:sz w:val="22"/>
          <w:szCs w:val="22"/>
        </w:rPr>
        <w:t>et la collectivité en cas de litige.</w:t>
      </w:r>
    </w:p>
    <w:p w14:paraId="13D7F801" w14:textId="77777777" w:rsidR="00A61010" w:rsidRPr="00141874" w:rsidRDefault="00A61010" w:rsidP="00A61010">
      <w:pPr>
        <w:jc w:val="left"/>
        <w:rPr>
          <w:rFonts w:ascii="Tahoma" w:hAnsi="Tahoma" w:cs="Tahoma"/>
          <w:sz w:val="22"/>
          <w:szCs w:val="22"/>
        </w:rPr>
      </w:pPr>
    </w:p>
    <w:p w14:paraId="5F520266" w14:textId="77777777" w:rsidR="00A61010" w:rsidRPr="00141874" w:rsidRDefault="00A61010" w:rsidP="00ED11A5">
      <w:pPr>
        <w:spacing w:line="240" w:lineRule="auto"/>
        <w:rPr>
          <w:rFonts w:ascii="Tahoma" w:hAnsi="Tahoma" w:cs="Tahoma"/>
          <w:sz w:val="22"/>
          <w:szCs w:val="22"/>
        </w:rPr>
      </w:pPr>
      <w:r w:rsidRPr="00141874">
        <w:rPr>
          <w:rFonts w:ascii="Tahoma" w:hAnsi="Tahoma" w:cs="Tahoma"/>
          <w:sz w:val="22"/>
          <w:szCs w:val="22"/>
        </w:rPr>
        <w:t>En aucun cas le CDG</w:t>
      </w:r>
      <w:r w:rsidR="00FB557F" w:rsidRPr="00141874">
        <w:rPr>
          <w:rFonts w:ascii="Tahoma" w:hAnsi="Tahoma" w:cs="Tahoma"/>
          <w:sz w:val="22"/>
          <w:szCs w:val="22"/>
        </w:rPr>
        <w:t>74</w:t>
      </w:r>
      <w:r w:rsidRPr="00141874">
        <w:rPr>
          <w:rFonts w:ascii="Tahoma" w:hAnsi="Tahoma" w:cs="Tahoma"/>
          <w:sz w:val="22"/>
          <w:szCs w:val="22"/>
        </w:rPr>
        <w:t xml:space="preserve"> ne peut être tenu pour responsable à l’égard des agents et des collectivités en cas de non attribution d’une prestation ou un défaut de prestation.</w:t>
      </w:r>
    </w:p>
    <w:p w14:paraId="6832DA32" w14:textId="77777777" w:rsidR="00A61010" w:rsidRPr="00141874" w:rsidRDefault="00A61010" w:rsidP="00A61010">
      <w:pPr>
        <w:spacing w:line="240" w:lineRule="auto"/>
        <w:jc w:val="left"/>
        <w:rPr>
          <w:rFonts w:ascii="Tahoma" w:hAnsi="Tahoma" w:cs="Tahoma"/>
          <w:sz w:val="22"/>
          <w:szCs w:val="22"/>
        </w:rPr>
      </w:pPr>
    </w:p>
    <w:p w14:paraId="01E99386" w14:textId="77777777" w:rsidR="00A61010" w:rsidRPr="00141874" w:rsidRDefault="00A61010" w:rsidP="00A61010">
      <w:pPr>
        <w:spacing w:line="240" w:lineRule="auto"/>
        <w:rPr>
          <w:rFonts w:ascii="Tahoma" w:hAnsi="Tahoma" w:cs="Tahoma"/>
          <w:sz w:val="22"/>
          <w:szCs w:val="22"/>
        </w:rPr>
      </w:pPr>
      <w:r w:rsidRPr="00141874">
        <w:rPr>
          <w:rFonts w:ascii="Tahoma" w:hAnsi="Tahoma" w:cs="Tahoma"/>
          <w:sz w:val="22"/>
          <w:szCs w:val="22"/>
        </w:rPr>
        <w:t>Il appartient à la Collectivité adhérant à la convention de participation de protection sociale du CDG</w:t>
      </w:r>
      <w:r w:rsidR="003B14B5" w:rsidRPr="00141874">
        <w:rPr>
          <w:rFonts w:ascii="Tahoma" w:hAnsi="Tahoma" w:cs="Tahoma"/>
          <w:sz w:val="22"/>
          <w:szCs w:val="22"/>
        </w:rPr>
        <w:t>74</w:t>
      </w:r>
      <w:r w:rsidRPr="00141874">
        <w:rPr>
          <w:rFonts w:ascii="Tahoma" w:hAnsi="Tahoma" w:cs="Tahoma"/>
          <w:sz w:val="22"/>
          <w:szCs w:val="22"/>
        </w:rPr>
        <w:t xml:space="preserve"> d’informer ses agents que seul</w:t>
      </w:r>
      <w:r w:rsidR="00FB0545">
        <w:rPr>
          <w:rFonts w:ascii="Tahoma" w:hAnsi="Tahoma" w:cs="Tahoma"/>
          <w:sz w:val="22"/>
          <w:szCs w:val="22"/>
        </w:rPr>
        <w:t xml:space="preserve"> le</w:t>
      </w:r>
      <w:r w:rsidRPr="00141874">
        <w:rPr>
          <w:rFonts w:ascii="Tahoma" w:hAnsi="Tahoma" w:cs="Tahoma"/>
          <w:sz w:val="22"/>
          <w:szCs w:val="22"/>
        </w:rPr>
        <w:t xml:space="preserve"> </w:t>
      </w:r>
      <w:r w:rsidR="00FB0545">
        <w:rPr>
          <w:rFonts w:ascii="Tahoma" w:hAnsi="Tahoma" w:cs="Tahoma"/>
          <w:sz w:val="22"/>
          <w:szCs w:val="22"/>
        </w:rPr>
        <w:t>groupement conjoint VYV/MNT/MGEN</w:t>
      </w:r>
      <w:r w:rsidR="00FB0545" w:rsidRPr="00141874">
        <w:rPr>
          <w:rFonts w:ascii="Tahoma" w:hAnsi="Tahoma" w:cs="Tahoma"/>
          <w:sz w:val="22"/>
          <w:szCs w:val="22"/>
        </w:rPr>
        <w:t xml:space="preserve"> </w:t>
      </w:r>
      <w:r w:rsidRPr="00141874">
        <w:rPr>
          <w:rFonts w:ascii="Tahoma" w:hAnsi="Tahoma" w:cs="Tahoma"/>
          <w:sz w:val="22"/>
          <w:szCs w:val="22"/>
        </w:rPr>
        <w:t>est responsable de la bonne exécution de la prestation proposée.</w:t>
      </w:r>
    </w:p>
    <w:p w14:paraId="78CD299C" w14:textId="77777777" w:rsidR="00A61010" w:rsidRPr="00141874" w:rsidRDefault="00A61010" w:rsidP="00A61010">
      <w:pPr>
        <w:spacing w:line="240" w:lineRule="auto"/>
        <w:rPr>
          <w:rFonts w:ascii="Tahoma" w:hAnsi="Tahoma" w:cs="Tahoma"/>
          <w:sz w:val="22"/>
          <w:szCs w:val="22"/>
        </w:rPr>
      </w:pPr>
    </w:p>
    <w:p w14:paraId="71C22CC6" w14:textId="77777777" w:rsidR="00A61010" w:rsidRPr="00141874" w:rsidRDefault="00A61010" w:rsidP="00A61010">
      <w:pPr>
        <w:spacing w:line="240" w:lineRule="auto"/>
        <w:rPr>
          <w:rFonts w:ascii="Tahoma" w:hAnsi="Tahoma" w:cs="Tahoma"/>
          <w:sz w:val="22"/>
          <w:szCs w:val="22"/>
        </w:rPr>
      </w:pPr>
      <w:r w:rsidRPr="00141874">
        <w:rPr>
          <w:rFonts w:ascii="Tahoma" w:hAnsi="Tahoma" w:cs="Tahoma"/>
          <w:sz w:val="22"/>
          <w:szCs w:val="22"/>
        </w:rPr>
        <w:t>En conséquence, l’agent est informé par sa collectivité que l’initiative et l’exercice effectif de tout recours juridique lui appartient et est nécessairement dirigé contre l’opérateur défaillant. L’agent est également informé par sa collec</w:t>
      </w:r>
      <w:r w:rsidR="00D804D0">
        <w:rPr>
          <w:rFonts w:ascii="Tahoma" w:hAnsi="Tahoma" w:cs="Tahoma"/>
          <w:sz w:val="22"/>
          <w:szCs w:val="22"/>
        </w:rPr>
        <w:t>tiv</w:t>
      </w:r>
      <w:r w:rsidR="00FB0545">
        <w:rPr>
          <w:rFonts w:ascii="Tahoma" w:hAnsi="Tahoma" w:cs="Tahoma"/>
          <w:sz w:val="22"/>
          <w:szCs w:val="22"/>
        </w:rPr>
        <w:t>ité qu’en cas de défaillance du groupement conjoint VYV/MNT/MGEN</w:t>
      </w:r>
      <w:r w:rsidR="00FB0545" w:rsidRPr="00FB0545">
        <w:rPr>
          <w:rFonts w:ascii="Tahoma" w:hAnsi="Tahoma" w:cs="Tahoma"/>
          <w:sz w:val="22"/>
          <w:szCs w:val="22"/>
        </w:rPr>
        <w:t xml:space="preserve"> </w:t>
      </w:r>
      <w:r w:rsidRPr="00141874">
        <w:rPr>
          <w:rFonts w:ascii="Tahoma" w:hAnsi="Tahoma" w:cs="Tahoma"/>
          <w:sz w:val="22"/>
          <w:szCs w:val="22"/>
        </w:rPr>
        <w:t>(non-exécution de la prestation, inexécution partielle ou exécution ne correspondant pas à ce qui a été proposé), il doit en informer le CDG</w:t>
      </w:r>
      <w:r w:rsidR="006A3297" w:rsidRPr="00141874">
        <w:rPr>
          <w:rFonts w:ascii="Tahoma" w:hAnsi="Tahoma" w:cs="Tahoma"/>
          <w:sz w:val="22"/>
          <w:szCs w:val="22"/>
        </w:rPr>
        <w:t>74</w:t>
      </w:r>
      <w:r w:rsidRPr="00141874">
        <w:rPr>
          <w:rFonts w:ascii="Tahoma" w:hAnsi="Tahoma" w:cs="Tahoma"/>
          <w:sz w:val="22"/>
          <w:szCs w:val="22"/>
        </w:rPr>
        <w:t xml:space="preserve"> afin que ce dernier puisse mettre en demeure le titulaire.</w:t>
      </w:r>
    </w:p>
    <w:p w14:paraId="413C9673" w14:textId="77777777" w:rsidR="002B2AD6" w:rsidRPr="00141874" w:rsidRDefault="002B2AD6" w:rsidP="00A61010">
      <w:pPr>
        <w:spacing w:line="240" w:lineRule="auto"/>
        <w:rPr>
          <w:rFonts w:ascii="Tahoma" w:hAnsi="Tahoma" w:cs="Tahoma"/>
          <w:b/>
          <w:kern w:val="20"/>
          <w:sz w:val="22"/>
          <w:szCs w:val="22"/>
          <w:u w:val="single"/>
        </w:rPr>
      </w:pPr>
    </w:p>
    <w:p w14:paraId="4C64909E" w14:textId="77777777" w:rsidR="00A61010" w:rsidRPr="00141874" w:rsidRDefault="00A61010" w:rsidP="00A61010">
      <w:pPr>
        <w:spacing w:line="240" w:lineRule="auto"/>
        <w:rPr>
          <w:rFonts w:ascii="Tahoma" w:hAnsi="Tahoma" w:cs="Tahoma"/>
          <w:b/>
          <w:kern w:val="20"/>
          <w:sz w:val="22"/>
          <w:szCs w:val="22"/>
          <w:u w:val="single"/>
        </w:rPr>
      </w:pPr>
      <w:r w:rsidRPr="00141874">
        <w:rPr>
          <w:rFonts w:ascii="Tahoma" w:hAnsi="Tahoma" w:cs="Tahoma"/>
          <w:b/>
          <w:kern w:val="20"/>
          <w:sz w:val="22"/>
          <w:szCs w:val="22"/>
          <w:u w:val="single"/>
        </w:rPr>
        <w:t>Article 9 : retrait de la Collectivité de la convention de participation de protection sociale du CDG74</w:t>
      </w:r>
    </w:p>
    <w:p w14:paraId="490CEB3E" w14:textId="77777777" w:rsidR="00A61010" w:rsidRPr="00141874" w:rsidRDefault="00A61010" w:rsidP="00A61010">
      <w:pPr>
        <w:rPr>
          <w:rFonts w:ascii="Tahoma" w:hAnsi="Tahoma" w:cs="Tahoma"/>
          <w:sz w:val="22"/>
          <w:szCs w:val="22"/>
        </w:rPr>
      </w:pPr>
    </w:p>
    <w:p w14:paraId="0FA98E4E" w14:textId="77777777" w:rsidR="00A61010" w:rsidRPr="00141874" w:rsidRDefault="00A61010" w:rsidP="00A61010">
      <w:pPr>
        <w:spacing w:line="240" w:lineRule="auto"/>
        <w:rPr>
          <w:rFonts w:ascii="Tahoma" w:hAnsi="Tahoma" w:cs="Tahoma"/>
          <w:sz w:val="22"/>
          <w:szCs w:val="22"/>
        </w:rPr>
      </w:pPr>
      <w:r w:rsidRPr="00141874">
        <w:rPr>
          <w:rFonts w:ascii="Tahoma" w:hAnsi="Tahoma" w:cs="Tahoma"/>
          <w:sz w:val="22"/>
          <w:szCs w:val="22"/>
        </w:rPr>
        <w:t>La Collectivité peut se retirer de la convention de participation. Le retrait est constaté par une délibération de l’assemblée délibérante ou par une décision de l’instance autorisée de la Collectivité. Une copie de la délibération ou de la décision est notifiée au CDG</w:t>
      </w:r>
      <w:r w:rsidR="001C7BEA" w:rsidRPr="00141874">
        <w:rPr>
          <w:rFonts w:ascii="Tahoma" w:hAnsi="Tahoma" w:cs="Tahoma"/>
          <w:sz w:val="22"/>
          <w:szCs w:val="22"/>
        </w:rPr>
        <w:t>74</w:t>
      </w:r>
      <w:r w:rsidRPr="00141874">
        <w:rPr>
          <w:rFonts w:ascii="Tahoma" w:hAnsi="Tahoma" w:cs="Tahoma"/>
          <w:sz w:val="22"/>
          <w:szCs w:val="22"/>
        </w:rPr>
        <w:t>.</w:t>
      </w:r>
    </w:p>
    <w:p w14:paraId="76C50593" w14:textId="77777777" w:rsidR="00A61010" w:rsidRPr="00141874" w:rsidRDefault="00A61010" w:rsidP="00A61010">
      <w:pPr>
        <w:spacing w:line="240" w:lineRule="auto"/>
        <w:rPr>
          <w:rFonts w:ascii="Tahoma" w:hAnsi="Tahoma" w:cs="Tahoma"/>
          <w:sz w:val="22"/>
          <w:szCs w:val="22"/>
        </w:rPr>
      </w:pPr>
    </w:p>
    <w:p w14:paraId="7F73BDED" w14:textId="469970D7" w:rsidR="00A61010" w:rsidRPr="00141874" w:rsidRDefault="00A61010" w:rsidP="00A61010">
      <w:pPr>
        <w:spacing w:line="240" w:lineRule="auto"/>
        <w:rPr>
          <w:rFonts w:ascii="Tahoma" w:hAnsi="Tahoma" w:cs="Tahoma"/>
          <w:sz w:val="22"/>
          <w:szCs w:val="22"/>
        </w:rPr>
      </w:pPr>
      <w:r w:rsidRPr="00141874">
        <w:rPr>
          <w:rFonts w:ascii="Tahoma" w:hAnsi="Tahoma" w:cs="Tahoma"/>
          <w:sz w:val="22"/>
          <w:szCs w:val="22"/>
        </w:rPr>
        <w:t xml:space="preserve">La Collectivité doit indiquer son intention avec </w:t>
      </w:r>
      <w:r w:rsidR="007C69DB">
        <w:rPr>
          <w:rFonts w:ascii="Tahoma" w:hAnsi="Tahoma" w:cs="Tahoma"/>
          <w:sz w:val="22"/>
          <w:szCs w:val="22"/>
        </w:rPr>
        <w:t>6</w:t>
      </w:r>
      <w:r w:rsidRPr="00141874">
        <w:rPr>
          <w:rFonts w:ascii="Tahoma" w:hAnsi="Tahoma" w:cs="Tahoma"/>
          <w:sz w:val="22"/>
          <w:szCs w:val="22"/>
        </w:rPr>
        <w:t xml:space="preserve"> mois de préavis avant le 31 dé</w:t>
      </w:r>
      <w:r w:rsidR="00006DB6">
        <w:rPr>
          <w:rFonts w:ascii="Tahoma" w:hAnsi="Tahoma" w:cs="Tahoma"/>
          <w:sz w:val="22"/>
          <w:szCs w:val="22"/>
        </w:rPr>
        <w:t>cembre de chaque année.</w:t>
      </w:r>
    </w:p>
    <w:p w14:paraId="164A3219" w14:textId="77777777" w:rsidR="004E1384" w:rsidRPr="00141874" w:rsidRDefault="004E1384" w:rsidP="00A61010">
      <w:pPr>
        <w:spacing w:line="240" w:lineRule="auto"/>
        <w:rPr>
          <w:rFonts w:ascii="Tahoma" w:hAnsi="Tahoma" w:cs="Tahoma"/>
          <w:sz w:val="22"/>
          <w:szCs w:val="22"/>
        </w:rPr>
      </w:pPr>
    </w:p>
    <w:p w14:paraId="3770AC72" w14:textId="77777777" w:rsidR="00A61010" w:rsidRPr="00141874" w:rsidRDefault="00A61010" w:rsidP="00A61010">
      <w:pPr>
        <w:spacing w:line="240" w:lineRule="auto"/>
        <w:rPr>
          <w:rFonts w:ascii="Tahoma" w:hAnsi="Tahoma" w:cs="Tahoma"/>
          <w:b/>
          <w:kern w:val="20"/>
          <w:sz w:val="22"/>
          <w:szCs w:val="22"/>
          <w:u w:val="single"/>
        </w:rPr>
      </w:pPr>
      <w:r w:rsidRPr="00141874">
        <w:rPr>
          <w:rFonts w:ascii="Tahoma" w:hAnsi="Tahoma" w:cs="Tahoma"/>
          <w:b/>
          <w:kern w:val="20"/>
          <w:sz w:val="22"/>
          <w:szCs w:val="22"/>
          <w:u w:val="single"/>
        </w:rPr>
        <w:t>Article 10</w:t>
      </w:r>
      <w:r w:rsidR="005D558A">
        <w:rPr>
          <w:rFonts w:ascii="Tahoma" w:hAnsi="Tahoma" w:cs="Tahoma"/>
          <w:b/>
          <w:kern w:val="20"/>
          <w:sz w:val="22"/>
          <w:szCs w:val="22"/>
          <w:u w:val="single"/>
        </w:rPr>
        <w:t xml:space="preserve"> </w:t>
      </w:r>
      <w:r w:rsidRPr="00141874">
        <w:rPr>
          <w:rFonts w:ascii="Tahoma" w:hAnsi="Tahoma" w:cs="Tahoma"/>
          <w:b/>
          <w:kern w:val="20"/>
          <w:sz w:val="22"/>
          <w:szCs w:val="22"/>
          <w:u w:val="single"/>
        </w:rPr>
        <w:t>: Montant de la participation financière de l’employeur</w:t>
      </w:r>
    </w:p>
    <w:p w14:paraId="78945033" w14:textId="77777777" w:rsidR="00A61010" w:rsidRPr="00141874" w:rsidRDefault="00A61010" w:rsidP="00A61010">
      <w:pPr>
        <w:suppressAutoHyphens w:val="0"/>
        <w:spacing w:line="240" w:lineRule="auto"/>
        <w:jc w:val="center"/>
        <w:rPr>
          <w:rFonts w:ascii="Tahoma" w:hAnsi="Tahoma" w:cs="Tahoma"/>
          <w:sz w:val="22"/>
          <w:szCs w:val="22"/>
          <w:lang w:eastAsia="fr-FR"/>
        </w:rPr>
      </w:pPr>
    </w:p>
    <w:p w14:paraId="6CD5BCF8" w14:textId="77777777" w:rsidR="00A61010" w:rsidRPr="00141874" w:rsidRDefault="00A61010" w:rsidP="00A61010">
      <w:pPr>
        <w:suppressAutoHyphens w:val="0"/>
        <w:spacing w:line="240" w:lineRule="auto"/>
        <w:ind w:hanging="1"/>
        <w:jc w:val="center"/>
        <w:rPr>
          <w:rFonts w:ascii="Tahoma" w:hAnsi="Tahoma" w:cs="Tahoma"/>
          <w:sz w:val="22"/>
          <w:szCs w:val="22"/>
          <w:lang w:eastAsia="fr-FR"/>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A61010" w:rsidRPr="00141874" w14:paraId="70D6E29D" w14:textId="77777777" w:rsidTr="008720F2">
        <w:tc>
          <w:tcPr>
            <w:tcW w:w="9356" w:type="dxa"/>
          </w:tcPr>
          <w:p w14:paraId="5EBF6D74" w14:textId="77777777" w:rsidR="00A61010" w:rsidRPr="00141874" w:rsidRDefault="00A61010" w:rsidP="008720F2">
            <w:pPr>
              <w:suppressAutoHyphens w:val="0"/>
              <w:spacing w:line="240" w:lineRule="auto"/>
              <w:jc w:val="center"/>
              <w:rPr>
                <w:rFonts w:ascii="Tahoma" w:hAnsi="Tahoma" w:cs="Tahoma"/>
                <w:b/>
                <w:bCs/>
                <w:sz w:val="22"/>
                <w:szCs w:val="22"/>
                <w:lang w:eastAsia="fr-FR"/>
              </w:rPr>
            </w:pPr>
            <w:r w:rsidRPr="00141874">
              <w:rPr>
                <w:rFonts w:ascii="Tahoma" w:hAnsi="Tahoma" w:cs="Tahoma"/>
                <w:b/>
                <w:bCs/>
                <w:sz w:val="22"/>
                <w:szCs w:val="22"/>
                <w:lang w:eastAsia="fr-FR"/>
              </w:rPr>
              <w:t>Prévoyance complémentaire</w:t>
            </w:r>
          </w:p>
        </w:tc>
      </w:tr>
      <w:tr w:rsidR="00A61010" w:rsidRPr="00141874" w14:paraId="6C4DB112" w14:textId="77777777" w:rsidTr="008720F2">
        <w:tc>
          <w:tcPr>
            <w:tcW w:w="9356" w:type="dxa"/>
          </w:tcPr>
          <w:p w14:paraId="7EC09B51" w14:textId="77777777" w:rsidR="00A61010" w:rsidRPr="00141874" w:rsidRDefault="00A61010" w:rsidP="008720F2">
            <w:pPr>
              <w:suppressAutoHyphens w:val="0"/>
              <w:spacing w:line="240" w:lineRule="auto"/>
              <w:jc w:val="left"/>
              <w:rPr>
                <w:rFonts w:ascii="Tahoma" w:hAnsi="Tahoma" w:cs="Tahoma"/>
                <w:b/>
                <w:sz w:val="22"/>
                <w:szCs w:val="22"/>
                <w:lang w:eastAsia="fr-FR"/>
              </w:rPr>
            </w:pPr>
          </w:p>
          <w:p w14:paraId="3E135D0D" w14:textId="77777777" w:rsidR="00895FC6" w:rsidRDefault="00706BB7" w:rsidP="00895FC6">
            <w:pPr>
              <w:suppressAutoHyphens w:val="0"/>
              <w:spacing w:line="240" w:lineRule="auto"/>
              <w:jc w:val="left"/>
              <w:rPr>
                <w:rFonts w:ascii="Tahoma" w:hAnsi="Tahoma" w:cs="Tahoma"/>
                <w:sz w:val="22"/>
                <w:szCs w:val="22"/>
                <w:lang w:eastAsia="fr-FR"/>
              </w:rPr>
            </w:pPr>
            <w:r w:rsidRPr="00141874">
              <w:rPr>
                <w:rFonts w:ascii="Tahoma" w:hAnsi="Tahoma" w:cs="Tahoma"/>
                <w:sz w:val="22"/>
                <w:szCs w:val="22"/>
                <w:lang w:eastAsia="fr-FR"/>
              </w:rPr>
              <w:t>Montant de la participation financière de l’employeur (modalités le cas échéant) :</w:t>
            </w:r>
            <w:r w:rsidR="00B446CD" w:rsidRPr="00141874">
              <w:rPr>
                <w:rFonts w:ascii="Tahoma" w:hAnsi="Tahoma" w:cs="Tahoma"/>
                <w:sz w:val="22"/>
                <w:szCs w:val="22"/>
                <w:lang w:eastAsia="fr-FR"/>
              </w:rPr>
              <w:t xml:space="preserve">  </w:t>
            </w:r>
          </w:p>
          <w:p w14:paraId="07E5817C" w14:textId="77777777" w:rsidR="00895FC6" w:rsidRDefault="00895FC6" w:rsidP="00895FC6">
            <w:pPr>
              <w:suppressAutoHyphens w:val="0"/>
              <w:spacing w:line="240" w:lineRule="auto"/>
              <w:jc w:val="left"/>
              <w:rPr>
                <w:rFonts w:ascii="Tahoma" w:hAnsi="Tahoma" w:cs="Tahoma"/>
                <w:sz w:val="22"/>
                <w:szCs w:val="22"/>
                <w:lang w:eastAsia="fr-FR"/>
              </w:rPr>
            </w:pPr>
          </w:p>
          <w:p w14:paraId="0AA529A6" w14:textId="77777777" w:rsidR="00895FC6" w:rsidRPr="00006DB6" w:rsidRDefault="00895FC6" w:rsidP="003B4BCD">
            <w:pPr>
              <w:suppressAutoHyphens w:val="0"/>
              <w:spacing w:line="240" w:lineRule="auto"/>
              <w:jc w:val="center"/>
              <w:rPr>
                <w:rFonts w:ascii="Tahoma" w:hAnsi="Tahoma" w:cs="Tahoma"/>
                <w:b/>
                <w:i/>
                <w:color w:val="17365D" w:themeColor="text2" w:themeShade="BF"/>
                <w:lang w:eastAsia="fr-FR"/>
              </w:rPr>
            </w:pPr>
            <w:r w:rsidRPr="00006DB6">
              <w:rPr>
                <w:rFonts w:ascii="Tahoma" w:hAnsi="Tahoma" w:cs="Tahoma"/>
                <w:i/>
                <w:sz w:val="22"/>
                <w:szCs w:val="22"/>
                <w:highlight w:val="yellow"/>
                <w:lang w:eastAsia="fr-FR"/>
              </w:rPr>
              <w:t>A compléter par la collectivité en fonction de sa délibération</w:t>
            </w:r>
          </w:p>
          <w:p w14:paraId="7D3B703C" w14:textId="77777777" w:rsidR="00A61010" w:rsidRPr="00141874" w:rsidRDefault="00A61010" w:rsidP="008720F2">
            <w:pPr>
              <w:suppressAutoHyphens w:val="0"/>
              <w:spacing w:line="240" w:lineRule="auto"/>
              <w:jc w:val="left"/>
              <w:rPr>
                <w:rFonts w:ascii="Tahoma" w:hAnsi="Tahoma" w:cs="Tahoma"/>
                <w:b/>
                <w:sz w:val="22"/>
                <w:szCs w:val="22"/>
                <w:lang w:eastAsia="fr-FR"/>
              </w:rPr>
            </w:pPr>
          </w:p>
        </w:tc>
      </w:tr>
    </w:tbl>
    <w:p w14:paraId="7B8EE25E" w14:textId="77777777" w:rsidR="004E1384" w:rsidRDefault="004E1384" w:rsidP="00A61010">
      <w:pPr>
        <w:spacing w:line="288" w:lineRule="auto"/>
        <w:rPr>
          <w:rFonts w:ascii="Tahoma" w:hAnsi="Tahoma" w:cs="Tahoma"/>
          <w:sz w:val="22"/>
          <w:szCs w:val="22"/>
        </w:rPr>
      </w:pPr>
    </w:p>
    <w:p w14:paraId="338F2078" w14:textId="77777777" w:rsidR="00910260" w:rsidRDefault="00910260" w:rsidP="00A61010">
      <w:pPr>
        <w:spacing w:line="288" w:lineRule="auto"/>
        <w:rPr>
          <w:rFonts w:ascii="Tahoma" w:hAnsi="Tahoma" w:cs="Tahoma"/>
          <w:sz w:val="22"/>
          <w:szCs w:val="22"/>
        </w:rPr>
      </w:pPr>
      <w:r>
        <w:rPr>
          <w:rFonts w:ascii="Tahoma" w:hAnsi="Tahoma" w:cs="Tahoma"/>
          <w:sz w:val="22"/>
          <w:szCs w:val="22"/>
        </w:rPr>
        <w:t>La collectivité peut revaloriser le montant de sa participation à tout moment pendant la durée de la convention de participation. Dans ce cas, elle informe le CDG74 et le groupement VYV/MNT/MGEN du nouveau montant de participation et lui transmet la nouvelle délibération.</w:t>
      </w:r>
    </w:p>
    <w:p w14:paraId="14DD59DD" w14:textId="77777777" w:rsidR="00910260" w:rsidRPr="00141874" w:rsidRDefault="00910260" w:rsidP="00A61010">
      <w:pPr>
        <w:spacing w:line="288" w:lineRule="auto"/>
        <w:rPr>
          <w:rFonts w:ascii="Tahoma" w:hAnsi="Tahoma" w:cs="Tahoma"/>
          <w:sz w:val="22"/>
          <w:szCs w:val="22"/>
        </w:rPr>
      </w:pPr>
    </w:p>
    <w:p w14:paraId="0ACD2497" w14:textId="77777777" w:rsidR="00D87098" w:rsidRPr="00141874" w:rsidRDefault="00D87098" w:rsidP="00D87098">
      <w:pPr>
        <w:spacing w:line="288" w:lineRule="auto"/>
        <w:rPr>
          <w:rFonts w:ascii="Tahoma" w:hAnsi="Tahoma" w:cs="Tahoma"/>
          <w:b/>
          <w:sz w:val="22"/>
          <w:szCs w:val="22"/>
          <w:u w:val="single"/>
        </w:rPr>
      </w:pPr>
      <w:r w:rsidRPr="00141874">
        <w:rPr>
          <w:rFonts w:ascii="Tahoma" w:hAnsi="Tahoma" w:cs="Tahoma"/>
          <w:b/>
          <w:sz w:val="22"/>
          <w:szCs w:val="22"/>
          <w:u w:val="single"/>
        </w:rPr>
        <w:t>Article 11 : Couverture du Régime Indemnitaire</w:t>
      </w:r>
    </w:p>
    <w:p w14:paraId="7B017C42" w14:textId="77777777" w:rsidR="00D87098" w:rsidRPr="00141874" w:rsidRDefault="00D87098" w:rsidP="00D87098">
      <w:pPr>
        <w:spacing w:line="288" w:lineRule="auto"/>
        <w:rPr>
          <w:rFonts w:ascii="Tahoma" w:hAnsi="Tahoma" w:cs="Tahoma"/>
          <w:b/>
          <w:sz w:val="22"/>
          <w:szCs w:val="22"/>
          <w:u w:val="single"/>
        </w:rPr>
      </w:pPr>
    </w:p>
    <w:p w14:paraId="0308F427" w14:textId="77777777" w:rsidR="00D87098" w:rsidRPr="00141874" w:rsidRDefault="00D87098" w:rsidP="00D87098">
      <w:pPr>
        <w:spacing w:line="288" w:lineRule="auto"/>
        <w:rPr>
          <w:rFonts w:ascii="Tahoma" w:hAnsi="Tahoma" w:cs="Tahoma"/>
          <w:sz w:val="22"/>
          <w:szCs w:val="22"/>
        </w:rPr>
      </w:pPr>
      <w:r w:rsidRPr="00141874">
        <w:rPr>
          <w:rFonts w:ascii="Tahoma" w:hAnsi="Tahoma" w:cs="Tahoma"/>
          <w:sz w:val="22"/>
          <w:szCs w:val="22"/>
        </w:rPr>
        <w:t xml:space="preserve">En référence à l’article 3 relatif à la nature des garanties </w:t>
      </w:r>
      <w:r w:rsidR="008A1C18" w:rsidRPr="00141874">
        <w:rPr>
          <w:rFonts w:ascii="Tahoma" w:hAnsi="Tahoma" w:cs="Tahoma"/>
          <w:sz w:val="22"/>
          <w:szCs w:val="22"/>
        </w:rPr>
        <w:t xml:space="preserve">et couverture, chaque agent pourra choisir, en option, de renforcer sa couverture, de manière facultative, en souscrivant, notamment, l’option </w:t>
      </w:r>
      <w:r w:rsidR="00663F9E">
        <w:rPr>
          <w:rFonts w:ascii="Tahoma" w:hAnsi="Tahoma" w:cs="Tahoma"/>
          <w:sz w:val="22"/>
          <w:szCs w:val="22"/>
        </w:rPr>
        <w:t>4</w:t>
      </w:r>
      <w:r w:rsidR="008A1C18" w:rsidRPr="00141874">
        <w:rPr>
          <w:rFonts w:ascii="Tahoma" w:hAnsi="Tahoma" w:cs="Tahoma"/>
          <w:sz w:val="22"/>
          <w:szCs w:val="22"/>
        </w:rPr>
        <w:t xml:space="preserve"> « Couverture Régime Indemnitaire ».</w:t>
      </w:r>
    </w:p>
    <w:p w14:paraId="098B3F88" w14:textId="77777777" w:rsidR="00AB16EE" w:rsidRDefault="00AB16EE" w:rsidP="00A61010">
      <w:pPr>
        <w:spacing w:line="288" w:lineRule="auto"/>
        <w:rPr>
          <w:rFonts w:ascii="Tahoma" w:hAnsi="Tahoma" w:cs="Tahoma"/>
          <w:sz w:val="22"/>
          <w:szCs w:val="22"/>
        </w:rPr>
      </w:pPr>
    </w:p>
    <w:p w14:paraId="3E110333" w14:textId="77777777" w:rsidR="00D87098" w:rsidRDefault="00AB16EE" w:rsidP="00A61010">
      <w:pPr>
        <w:spacing w:line="288" w:lineRule="auto"/>
        <w:rPr>
          <w:rFonts w:ascii="Tahoma" w:hAnsi="Tahoma" w:cs="Tahoma"/>
          <w:sz w:val="22"/>
          <w:szCs w:val="22"/>
        </w:rPr>
      </w:pPr>
      <w:r>
        <w:rPr>
          <w:rFonts w:ascii="Tahoma" w:hAnsi="Tahoma" w:cs="Tahoma"/>
          <w:sz w:val="22"/>
          <w:szCs w:val="22"/>
        </w:rPr>
        <w:t>De base, la couverture Régime Indemnitaire comprend les éléments fixes mensuels (IFSE, PSR, ISS, etc.).</w:t>
      </w:r>
    </w:p>
    <w:p w14:paraId="2DB48E3E" w14:textId="77777777" w:rsidR="00AB16EE" w:rsidRPr="00141874" w:rsidRDefault="00AB16EE" w:rsidP="00A61010">
      <w:pPr>
        <w:spacing w:line="288" w:lineRule="auto"/>
        <w:rPr>
          <w:rFonts w:ascii="Tahoma" w:hAnsi="Tahoma" w:cs="Tahoma"/>
          <w:sz w:val="22"/>
          <w:szCs w:val="22"/>
        </w:rPr>
      </w:pPr>
    </w:p>
    <w:p w14:paraId="02C19919" w14:textId="77777777" w:rsidR="00663F9E" w:rsidRDefault="008674ED" w:rsidP="00663F9E">
      <w:pPr>
        <w:suppressAutoHyphens w:val="0"/>
        <w:spacing w:line="240" w:lineRule="auto"/>
        <w:rPr>
          <w:rFonts w:ascii="Tahoma" w:eastAsia="Calibri" w:hAnsi="Tahoma" w:cs="Tahoma"/>
          <w:sz w:val="22"/>
          <w:szCs w:val="22"/>
          <w:lang w:eastAsia="en-US"/>
        </w:rPr>
      </w:pPr>
      <w:r>
        <w:rPr>
          <w:rFonts w:ascii="Tahoma" w:eastAsia="Calibri" w:hAnsi="Tahoma" w:cs="Tahoma"/>
          <w:sz w:val="22"/>
          <w:szCs w:val="22"/>
          <w:lang w:eastAsia="en-US"/>
        </w:rPr>
        <w:t>La collectivité a</w:t>
      </w:r>
      <w:r w:rsidR="00663F9E">
        <w:rPr>
          <w:rFonts w:ascii="Tahoma" w:eastAsia="Calibri" w:hAnsi="Tahoma" w:cs="Tahoma"/>
          <w:sz w:val="22"/>
          <w:szCs w:val="22"/>
          <w:lang w:eastAsia="en-US"/>
        </w:rPr>
        <w:t xml:space="preserve"> le choix, pour le régime d’indemnitaire, d’intégrer dans l’assiette de cotisation de base tout ou partie des éléments </w:t>
      </w:r>
      <w:r w:rsidR="00AB16EE">
        <w:rPr>
          <w:rFonts w:ascii="Tahoma" w:eastAsia="Calibri" w:hAnsi="Tahoma" w:cs="Tahoma"/>
          <w:sz w:val="22"/>
          <w:szCs w:val="22"/>
          <w:lang w:eastAsia="en-US"/>
        </w:rPr>
        <w:t xml:space="preserve">variables </w:t>
      </w:r>
      <w:r w:rsidR="00663F9E">
        <w:rPr>
          <w:rFonts w:ascii="Tahoma" w:eastAsia="Calibri" w:hAnsi="Tahoma" w:cs="Tahoma"/>
          <w:sz w:val="22"/>
          <w:szCs w:val="22"/>
          <w:lang w:eastAsia="en-US"/>
        </w:rPr>
        <w:t>suivants :</w:t>
      </w:r>
    </w:p>
    <w:p w14:paraId="581B0CE0" w14:textId="77777777" w:rsidR="00663F9E" w:rsidRDefault="00663F9E" w:rsidP="00663F9E">
      <w:pPr>
        <w:suppressAutoHyphens w:val="0"/>
        <w:spacing w:line="240" w:lineRule="auto"/>
        <w:rPr>
          <w:rFonts w:ascii="Tahoma" w:eastAsia="Calibri" w:hAnsi="Tahoma" w:cs="Tahoma"/>
          <w:sz w:val="22"/>
          <w:szCs w:val="22"/>
          <w:lang w:eastAsia="en-US"/>
        </w:rPr>
      </w:pPr>
    </w:p>
    <w:tbl>
      <w:tblPr>
        <w:tblStyle w:val="Grilledutableau"/>
        <w:tblW w:w="0" w:type="auto"/>
        <w:tblInd w:w="250" w:type="dxa"/>
        <w:tblLook w:val="04A0" w:firstRow="1" w:lastRow="0" w:firstColumn="1" w:lastColumn="0" w:noHBand="0" w:noVBand="1"/>
      </w:tblPr>
      <w:tblGrid>
        <w:gridCol w:w="4961"/>
        <w:gridCol w:w="3686"/>
      </w:tblGrid>
      <w:tr w:rsidR="00663F9E" w14:paraId="24DCBB3A" w14:textId="77777777" w:rsidTr="00C33D71">
        <w:trPr>
          <w:trHeight w:val="1212"/>
        </w:trPr>
        <w:tc>
          <w:tcPr>
            <w:tcW w:w="4961" w:type="dxa"/>
          </w:tcPr>
          <w:p w14:paraId="20C9E172" w14:textId="77777777" w:rsidR="00663F9E" w:rsidRPr="007A3266" w:rsidRDefault="00663F9E" w:rsidP="00910260">
            <w:pPr>
              <w:suppressAutoHyphens w:val="0"/>
              <w:spacing w:line="240" w:lineRule="auto"/>
              <w:jc w:val="center"/>
              <w:rPr>
                <w:rFonts w:ascii="Tahoma" w:eastAsia="Calibri" w:hAnsi="Tahoma" w:cs="Tahoma"/>
                <w:b/>
                <w:sz w:val="22"/>
                <w:lang w:eastAsia="en-US"/>
              </w:rPr>
            </w:pPr>
            <w:r w:rsidRPr="007A3266">
              <w:rPr>
                <w:rFonts w:ascii="Tahoma" w:eastAsia="Calibri" w:hAnsi="Tahoma" w:cs="Tahoma"/>
                <w:b/>
                <w:sz w:val="22"/>
                <w:lang w:eastAsia="en-US"/>
              </w:rPr>
              <w:t>Variables régime indemnitaire</w:t>
            </w:r>
          </w:p>
        </w:tc>
        <w:tc>
          <w:tcPr>
            <w:tcW w:w="3686" w:type="dxa"/>
          </w:tcPr>
          <w:p w14:paraId="7BDA8463" w14:textId="77777777" w:rsidR="00663F9E" w:rsidRDefault="00663F9E" w:rsidP="00910260">
            <w:pPr>
              <w:suppressAutoHyphens w:val="0"/>
              <w:spacing w:line="240" w:lineRule="auto"/>
              <w:jc w:val="center"/>
              <w:rPr>
                <w:rFonts w:ascii="Tahoma" w:eastAsia="Calibri" w:hAnsi="Tahoma" w:cs="Tahoma"/>
                <w:b/>
                <w:sz w:val="22"/>
                <w:lang w:eastAsia="en-US"/>
              </w:rPr>
            </w:pPr>
            <w:r w:rsidRPr="007A3266">
              <w:rPr>
                <w:rFonts w:ascii="Tahoma" w:eastAsia="Calibri" w:hAnsi="Tahoma" w:cs="Tahoma"/>
                <w:b/>
                <w:sz w:val="22"/>
                <w:lang w:eastAsia="en-US"/>
              </w:rPr>
              <w:t>Intégration dans l’option régime indemnitaire</w:t>
            </w:r>
          </w:p>
          <w:p w14:paraId="0915D017" w14:textId="77777777" w:rsidR="00663F9E" w:rsidRPr="007A3266" w:rsidRDefault="00663F9E" w:rsidP="00910260">
            <w:pPr>
              <w:suppressAutoHyphens w:val="0"/>
              <w:spacing w:line="240" w:lineRule="auto"/>
              <w:jc w:val="center"/>
              <w:rPr>
                <w:rFonts w:ascii="Tahoma" w:eastAsia="Calibri" w:hAnsi="Tahoma" w:cs="Tahoma"/>
                <w:b/>
                <w:sz w:val="22"/>
                <w:lang w:eastAsia="en-US"/>
              </w:rPr>
            </w:pPr>
            <w:r w:rsidRPr="00525DB4">
              <w:rPr>
                <w:rFonts w:ascii="Tahoma" w:eastAsia="Calibri" w:hAnsi="Tahoma" w:cs="Tahoma"/>
                <w:b/>
                <w:sz w:val="22"/>
                <w:highlight w:val="yellow"/>
                <w:lang w:eastAsia="en-US"/>
              </w:rPr>
              <w:t>OUI / NON</w:t>
            </w:r>
          </w:p>
        </w:tc>
      </w:tr>
      <w:tr w:rsidR="00663F9E" w14:paraId="4490BF5C" w14:textId="77777777" w:rsidTr="00C33D71">
        <w:trPr>
          <w:trHeight w:val="786"/>
        </w:trPr>
        <w:tc>
          <w:tcPr>
            <w:tcW w:w="4961" w:type="dxa"/>
          </w:tcPr>
          <w:p w14:paraId="430774BD" w14:textId="77777777" w:rsidR="00663F9E" w:rsidRDefault="00663F9E" w:rsidP="00FB0545">
            <w:pPr>
              <w:suppressAutoHyphens w:val="0"/>
              <w:spacing w:line="240" w:lineRule="auto"/>
              <w:jc w:val="center"/>
              <w:rPr>
                <w:rFonts w:ascii="Tahoma" w:eastAsia="Calibri" w:hAnsi="Tahoma" w:cs="Tahoma"/>
                <w:sz w:val="22"/>
                <w:lang w:eastAsia="en-US"/>
              </w:rPr>
            </w:pPr>
            <w:r>
              <w:rPr>
                <w:rFonts w:ascii="Tahoma" w:eastAsia="Calibri" w:hAnsi="Tahoma" w:cs="Tahoma"/>
                <w:sz w:val="22"/>
                <w:lang w:eastAsia="en-US"/>
              </w:rPr>
              <w:t>Les heures supplémentaires</w:t>
            </w:r>
            <w:r w:rsidR="000368B0">
              <w:rPr>
                <w:rFonts w:ascii="Tahoma" w:eastAsia="Calibri" w:hAnsi="Tahoma" w:cs="Tahoma"/>
                <w:sz w:val="22"/>
                <w:lang w:eastAsia="en-US"/>
              </w:rPr>
              <w:t>, les heures complémentaires</w:t>
            </w:r>
            <w:r>
              <w:rPr>
                <w:rFonts w:ascii="Tahoma" w:eastAsia="Calibri" w:hAnsi="Tahoma" w:cs="Tahoma"/>
                <w:sz w:val="22"/>
                <w:lang w:eastAsia="en-US"/>
              </w:rPr>
              <w:t xml:space="preserve"> et les astreintes</w:t>
            </w:r>
          </w:p>
        </w:tc>
        <w:tc>
          <w:tcPr>
            <w:tcW w:w="3686" w:type="dxa"/>
          </w:tcPr>
          <w:p w14:paraId="10165A3E" w14:textId="77777777" w:rsidR="00663F9E" w:rsidRDefault="00663F9E" w:rsidP="00C33D71">
            <w:pPr>
              <w:suppressAutoHyphens w:val="0"/>
              <w:spacing w:line="240" w:lineRule="auto"/>
              <w:rPr>
                <w:rFonts w:ascii="Tahoma" w:eastAsia="Calibri" w:hAnsi="Tahoma" w:cs="Tahoma"/>
                <w:sz w:val="22"/>
                <w:lang w:eastAsia="en-US"/>
              </w:rPr>
            </w:pPr>
          </w:p>
        </w:tc>
      </w:tr>
    </w:tbl>
    <w:p w14:paraId="000A072A" w14:textId="77777777" w:rsidR="00663F9E" w:rsidRDefault="00663F9E" w:rsidP="00663F9E">
      <w:pPr>
        <w:suppressAutoHyphens w:val="0"/>
        <w:spacing w:line="240" w:lineRule="auto"/>
        <w:rPr>
          <w:rFonts w:ascii="Tahoma" w:eastAsia="Calibri" w:hAnsi="Tahoma" w:cs="Tahoma"/>
          <w:sz w:val="22"/>
          <w:szCs w:val="22"/>
          <w:lang w:eastAsia="en-US"/>
        </w:rPr>
      </w:pPr>
    </w:p>
    <w:p w14:paraId="1BC18876" w14:textId="77777777" w:rsidR="00525DB4" w:rsidRDefault="00525DB4" w:rsidP="00663F9E">
      <w:pPr>
        <w:suppressAutoHyphens w:val="0"/>
        <w:spacing w:line="240" w:lineRule="auto"/>
        <w:rPr>
          <w:rFonts w:ascii="Tahoma" w:eastAsia="Calibri" w:hAnsi="Tahoma" w:cs="Tahoma"/>
          <w:sz w:val="22"/>
          <w:szCs w:val="22"/>
          <w:lang w:eastAsia="en-US"/>
        </w:rPr>
      </w:pPr>
      <w:r>
        <w:rPr>
          <w:rFonts w:ascii="Tahoma" w:eastAsia="Calibri" w:hAnsi="Tahoma" w:cs="Tahoma"/>
          <w:sz w:val="22"/>
          <w:lang w:eastAsia="en-US"/>
        </w:rPr>
        <w:t>Les heures supplémentaires</w:t>
      </w:r>
      <w:r w:rsidR="003B4BCD">
        <w:rPr>
          <w:rFonts w:ascii="Tahoma" w:eastAsia="Calibri" w:hAnsi="Tahoma" w:cs="Tahoma"/>
          <w:sz w:val="22"/>
          <w:lang w:eastAsia="en-US"/>
        </w:rPr>
        <w:t>, les heures complémentaires</w:t>
      </w:r>
      <w:r>
        <w:rPr>
          <w:rFonts w:ascii="Tahoma" w:eastAsia="Calibri" w:hAnsi="Tahoma" w:cs="Tahoma"/>
          <w:sz w:val="22"/>
          <w:lang w:eastAsia="en-US"/>
        </w:rPr>
        <w:t xml:space="preserve"> et les astreintes sont indemnisées sur la base de la moyenne des heures supplémentaires</w:t>
      </w:r>
      <w:r w:rsidR="003B4BCD">
        <w:rPr>
          <w:rFonts w:ascii="Tahoma" w:eastAsia="Calibri" w:hAnsi="Tahoma" w:cs="Tahoma"/>
          <w:sz w:val="22"/>
          <w:lang w:eastAsia="en-US"/>
        </w:rPr>
        <w:t>, des heures complémentaires</w:t>
      </w:r>
      <w:r>
        <w:rPr>
          <w:rFonts w:ascii="Tahoma" w:eastAsia="Calibri" w:hAnsi="Tahoma" w:cs="Tahoma"/>
          <w:sz w:val="22"/>
          <w:lang w:eastAsia="en-US"/>
        </w:rPr>
        <w:t xml:space="preserve"> et des astreintes des 12 derniers mois ayant donné lieu à cotisations, avant l’arrêt de travail donnant lieu à demi-traitement.</w:t>
      </w:r>
    </w:p>
    <w:p w14:paraId="6A9CE52B" w14:textId="77777777" w:rsidR="00663F9E" w:rsidRDefault="00663F9E" w:rsidP="00663F9E">
      <w:pPr>
        <w:suppressAutoHyphens w:val="0"/>
        <w:spacing w:line="240" w:lineRule="auto"/>
        <w:rPr>
          <w:rFonts w:ascii="Tahoma" w:eastAsia="Calibri" w:hAnsi="Tahoma" w:cs="Tahoma"/>
          <w:sz w:val="22"/>
          <w:szCs w:val="22"/>
          <w:lang w:eastAsia="en-US"/>
        </w:rPr>
      </w:pPr>
    </w:p>
    <w:p w14:paraId="201082FB" w14:textId="77777777" w:rsidR="00663F9E" w:rsidRDefault="00663F9E" w:rsidP="00663F9E">
      <w:pPr>
        <w:suppressAutoHyphens w:val="0"/>
        <w:spacing w:line="240" w:lineRule="auto"/>
        <w:rPr>
          <w:rFonts w:ascii="Tahoma" w:eastAsia="Calibri" w:hAnsi="Tahoma" w:cs="Tahoma"/>
          <w:sz w:val="22"/>
          <w:szCs w:val="22"/>
          <w:lang w:eastAsia="en-US"/>
        </w:rPr>
      </w:pPr>
      <w:r>
        <w:rPr>
          <w:rFonts w:ascii="Tahoma" w:eastAsia="Calibri" w:hAnsi="Tahoma" w:cs="Tahoma"/>
          <w:sz w:val="22"/>
          <w:szCs w:val="22"/>
          <w:lang w:eastAsia="en-US"/>
        </w:rPr>
        <w:t>Le choix fait par la collectivité s’applique à l’ensemble des agents</w:t>
      </w:r>
      <w:r w:rsidR="00684B08">
        <w:rPr>
          <w:rFonts w:ascii="Tahoma" w:eastAsia="Calibri" w:hAnsi="Tahoma" w:cs="Tahoma"/>
          <w:sz w:val="22"/>
          <w:szCs w:val="22"/>
          <w:lang w:eastAsia="en-US"/>
        </w:rPr>
        <w:t xml:space="preserve"> de la collectivité</w:t>
      </w:r>
      <w:r>
        <w:rPr>
          <w:rFonts w:ascii="Tahoma" w:eastAsia="Calibri" w:hAnsi="Tahoma" w:cs="Tahoma"/>
          <w:sz w:val="22"/>
          <w:szCs w:val="22"/>
          <w:lang w:eastAsia="en-US"/>
        </w:rPr>
        <w:t xml:space="preserve"> qui souscrivent au contrat.</w:t>
      </w:r>
    </w:p>
    <w:p w14:paraId="347DA14A" w14:textId="77777777" w:rsidR="008A1C18" w:rsidRPr="00141874" w:rsidRDefault="008A1C18" w:rsidP="00A61010">
      <w:pPr>
        <w:spacing w:line="288" w:lineRule="auto"/>
        <w:rPr>
          <w:rFonts w:ascii="Tahoma" w:hAnsi="Tahoma" w:cs="Tahoma"/>
          <w:sz w:val="22"/>
          <w:szCs w:val="22"/>
        </w:rPr>
      </w:pPr>
    </w:p>
    <w:p w14:paraId="52A16002" w14:textId="77777777" w:rsidR="00D47B00" w:rsidRPr="00141874" w:rsidRDefault="00D47B00" w:rsidP="00D47B00">
      <w:pPr>
        <w:spacing w:line="288" w:lineRule="auto"/>
        <w:rPr>
          <w:rFonts w:ascii="Tahoma" w:hAnsi="Tahoma" w:cs="Tahoma"/>
          <w:b/>
          <w:sz w:val="22"/>
          <w:szCs w:val="22"/>
          <w:u w:val="single"/>
        </w:rPr>
      </w:pPr>
      <w:r w:rsidRPr="00141874">
        <w:rPr>
          <w:rFonts w:ascii="Tahoma" w:hAnsi="Tahoma" w:cs="Tahoma"/>
          <w:b/>
          <w:sz w:val="22"/>
          <w:szCs w:val="22"/>
          <w:u w:val="single"/>
        </w:rPr>
        <w:t xml:space="preserve">Article 12 : </w:t>
      </w:r>
      <w:r>
        <w:rPr>
          <w:rFonts w:ascii="Tahoma" w:hAnsi="Tahoma" w:cs="Tahoma"/>
          <w:b/>
          <w:sz w:val="22"/>
          <w:szCs w:val="22"/>
          <w:u w:val="single"/>
        </w:rPr>
        <w:t>Conditions financières</w:t>
      </w:r>
    </w:p>
    <w:p w14:paraId="13ED1B8C" w14:textId="77777777" w:rsidR="008A1C18" w:rsidRPr="00141874" w:rsidRDefault="008A1C18" w:rsidP="00A61010">
      <w:pPr>
        <w:spacing w:line="288" w:lineRule="auto"/>
        <w:rPr>
          <w:rFonts w:ascii="Tahoma" w:hAnsi="Tahoma" w:cs="Tahoma"/>
          <w:sz w:val="22"/>
          <w:szCs w:val="22"/>
        </w:rPr>
      </w:pPr>
    </w:p>
    <w:p w14:paraId="0A469624" w14:textId="77777777" w:rsidR="00D47B00" w:rsidRPr="00D47B00" w:rsidRDefault="00D47B00" w:rsidP="00A61010">
      <w:pPr>
        <w:spacing w:line="288" w:lineRule="auto"/>
        <w:rPr>
          <w:rFonts w:ascii="Tahoma" w:hAnsi="Tahoma" w:cs="Tahoma"/>
          <w:sz w:val="22"/>
          <w:szCs w:val="22"/>
        </w:rPr>
      </w:pPr>
      <w:r w:rsidRPr="00D47B00">
        <w:rPr>
          <w:rFonts w:ascii="Tahoma" w:hAnsi="Tahoma" w:cs="Tahoma"/>
          <w:sz w:val="22"/>
          <w:szCs w:val="22"/>
        </w:rPr>
        <w:t>Pour les collectivités affiliées au CDG74, l’utilisation de la convention de participation est couverte par la cotisation additionnelle.</w:t>
      </w:r>
    </w:p>
    <w:p w14:paraId="50FA931B" w14:textId="77777777" w:rsidR="00D47B00" w:rsidRPr="00D47B00" w:rsidRDefault="00D47B00" w:rsidP="00A61010">
      <w:pPr>
        <w:spacing w:line="288" w:lineRule="auto"/>
        <w:rPr>
          <w:rFonts w:ascii="Tahoma" w:hAnsi="Tahoma" w:cs="Tahoma"/>
          <w:sz w:val="22"/>
          <w:szCs w:val="22"/>
        </w:rPr>
      </w:pPr>
    </w:p>
    <w:p w14:paraId="37EA5D35" w14:textId="77777777" w:rsidR="00D47B00" w:rsidRPr="00D47B00" w:rsidRDefault="00D47B00" w:rsidP="00A61010">
      <w:pPr>
        <w:spacing w:line="288" w:lineRule="auto"/>
        <w:rPr>
          <w:rFonts w:ascii="Tahoma" w:hAnsi="Tahoma" w:cs="Tahoma"/>
          <w:sz w:val="22"/>
          <w:szCs w:val="22"/>
        </w:rPr>
      </w:pPr>
      <w:r w:rsidRPr="00D47B00">
        <w:rPr>
          <w:rFonts w:ascii="Tahoma" w:hAnsi="Tahoma" w:cs="Tahoma"/>
          <w:sz w:val="22"/>
          <w:szCs w:val="22"/>
        </w:rPr>
        <w:t>Pour les collectivités non affiliées au CDG74, l’utilisation de la convention de participation implique le versement d’une redevance dont le montant a été fixé</w:t>
      </w:r>
      <w:r w:rsidR="003B4BCD">
        <w:rPr>
          <w:rFonts w:ascii="Tahoma" w:hAnsi="Tahoma" w:cs="Tahoma"/>
          <w:sz w:val="22"/>
          <w:szCs w:val="22"/>
        </w:rPr>
        <w:t xml:space="preserve"> à 3 500 €</w:t>
      </w:r>
      <w:r w:rsidRPr="00D47B00">
        <w:rPr>
          <w:rFonts w:ascii="Tahoma" w:hAnsi="Tahoma" w:cs="Tahoma"/>
          <w:sz w:val="22"/>
          <w:szCs w:val="22"/>
        </w:rPr>
        <w:t xml:space="preserve"> par le conseil d’administration du CDG74. Cette redevance est versée une seule fois pour toute la durée d’utilisation de la convention de participation.</w:t>
      </w:r>
    </w:p>
    <w:p w14:paraId="35069166" w14:textId="77777777" w:rsidR="00D47B00" w:rsidRDefault="00D47B00" w:rsidP="00A61010">
      <w:pPr>
        <w:spacing w:line="288" w:lineRule="auto"/>
        <w:rPr>
          <w:rFonts w:ascii="Tahoma" w:hAnsi="Tahoma" w:cs="Tahoma"/>
          <w:b/>
          <w:sz w:val="22"/>
          <w:szCs w:val="22"/>
          <w:u w:val="single"/>
        </w:rPr>
      </w:pPr>
    </w:p>
    <w:p w14:paraId="5804B30C" w14:textId="77777777" w:rsidR="00A61010" w:rsidRPr="00141874" w:rsidRDefault="00A61010" w:rsidP="00A61010">
      <w:pPr>
        <w:spacing w:line="288" w:lineRule="auto"/>
        <w:rPr>
          <w:rFonts w:ascii="Tahoma" w:hAnsi="Tahoma" w:cs="Tahoma"/>
          <w:b/>
          <w:sz w:val="22"/>
          <w:szCs w:val="22"/>
          <w:u w:val="single"/>
        </w:rPr>
      </w:pPr>
      <w:r w:rsidRPr="00141874">
        <w:rPr>
          <w:rFonts w:ascii="Tahoma" w:hAnsi="Tahoma" w:cs="Tahoma"/>
          <w:b/>
          <w:sz w:val="22"/>
          <w:szCs w:val="22"/>
          <w:u w:val="single"/>
        </w:rPr>
        <w:t>Article 1</w:t>
      </w:r>
      <w:r w:rsidR="00D47B00">
        <w:rPr>
          <w:rFonts w:ascii="Tahoma" w:hAnsi="Tahoma" w:cs="Tahoma"/>
          <w:b/>
          <w:sz w:val="22"/>
          <w:szCs w:val="22"/>
          <w:u w:val="single"/>
        </w:rPr>
        <w:t>3</w:t>
      </w:r>
      <w:r w:rsidRPr="00141874">
        <w:rPr>
          <w:rFonts w:ascii="Tahoma" w:hAnsi="Tahoma" w:cs="Tahoma"/>
          <w:b/>
          <w:sz w:val="22"/>
          <w:szCs w:val="22"/>
          <w:u w:val="single"/>
        </w:rPr>
        <w:t> : Modification</w:t>
      </w:r>
    </w:p>
    <w:p w14:paraId="4755A7A7" w14:textId="77777777" w:rsidR="00A61010" w:rsidRPr="00141874" w:rsidRDefault="00A61010" w:rsidP="00A61010">
      <w:pPr>
        <w:spacing w:line="288" w:lineRule="auto"/>
        <w:rPr>
          <w:rFonts w:ascii="Tahoma" w:hAnsi="Tahoma" w:cs="Tahoma"/>
          <w:b/>
          <w:sz w:val="22"/>
          <w:szCs w:val="22"/>
          <w:u w:val="single"/>
        </w:rPr>
      </w:pPr>
    </w:p>
    <w:p w14:paraId="3C0D98C5" w14:textId="77777777" w:rsidR="00A61010" w:rsidRPr="00141874" w:rsidRDefault="00A61010" w:rsidP="00A61010">
      <w:pPr>
        <w:spacing w:line="288" w:lineRule="auto"/>
        <w:rPr>
          <w:rFonts w:ascii="Tahoma" w:hAnsi="Tahoma" w:cs="Tahoma"/>
          <w:sz w:val="22"/>
          <w:szCs w:val="22"/>
        </w:rPr>
      </w:pPr>
      <w:r w:rsidRPr="00141874">
        <w:rPr>
          <w:rFonts w:ascii="Tahoma" w:hAnsi="Tahoma" w:cs="Tahoma"/>
          <w:sz w:val="22"/>
          <w:szCs w:val="22"/>
        </w:rPr>
        <w:t>Toute modification de la présente convention</w:t>
      </w:r>
      <w:r w:rsidR="00AB16EE">
        <w:rPr>
          <w:rFonts w:ascii="Tahoma" w:hAnsi="Tahoma" w:cs="Tahoma"/>
          <w:sz w:val="22"/>
          <w:szCs w:val="22"/>
        </w:rPr>
        <w:t xml:space="preserve"> </w:t>
      </w:r>
      <w:r w:rsidR="00706BB7" w:rsidRPr="001D3039">
        <w:rPr>
          <w:rFonts w:ascii="Tahoma" w:hAnsi="Tahoma" w:cs="Tahoma"/>
          <w:sz w:val="22"/>
          <w:szCs w:val="22"/>
        </w:rPr>
        <w:t>devra</w:t>
      </w:r>
      <w:r w:rsidR="001D3039" w:rsidRPr="001D3039">
        <w:rPr>
          <w:rFonts w:ascii="Tahoma" w:hAnsi="Tahoma" w:cs="Tahoma"/>
          <w:sz w:val="22"/>
          <w:szCs w:val="22"/>
        </w:rPr>
        <w:t xml:space="preserve"> faire l’objet d’un avenant.</w:t>
      </w:r>
    </w:p>
    <w:p w14:paraId="70AA9501" w14:textId="77777777" w:rsidR="004E1384" w:rsidRPr="00141874" w:rsidRDefault="004E1384" w:rsidP="00A61010">
      <w:pPr>
        <w:spacing w:line="288" w:lineRule="auto"/>
        <w:rPr>
          <w:rFonts w:ascii="Tahoma" w:hAnsi="Tahoma" w:cs="Tahoma"/>
          <w:sz w:val="22"/>
          <w:szCs w:val="22"/>
        </w:rPr>
      </w:pPr>
    </w:p>
    <w:p w14:paraId="5B234697" w14:textId="77777777" w:rsidR="00A61010" w:rsidRPr="00141874" w:rsidRDefault="00A61010" w:rsidP="00A61010">
      <w:pPr>
        <w:spacing w:line="288" w:lineRule="auto"/>
        <w:rPr>
          <w:rFonts w:ascii="Tahoma" w:hAnsi="Tahoma" w:cs="Tahoma"/>
          <w:b/>
          <w:sz w:val="22"/>
          <w:szCs w:val="22"/>
          <w:u w:val="single"/>
        </w:rPr>
      </w:pPr>
      <w:r w:rsidRPr="00141874">
        <w:rPr>
          <w:rFonts w:ascii="Tahoma" w:hAnsi="Tahoma" w:cs="Tahoma"/>
          <w:b/>
          <w:sz w:val="22"/>
          <w:szCs w:val="22"/>
          <w:u w:val="single"/>
        </w:rPr>
        <w:t>Article 1</w:t>
      </w:r>
      <w:r w:rsidR="00D47B00">
        <w:rPr>
          <w:rFonts w:ascii="Tahoma" w:hAnsi="Tahoma" w:cs="Tahoma"/>
          <w:b/>
          <w:sz w:val="22"/>
          <w:szCs w:val="22"/>
          <w:u w:val="single"/>
        </w:rPr>
        <w:t>4</w:t>
      </w:r>
      <w:r w:rsidRPr="00141874">
        <w:rPr>
          <w:rFonts w:ascii="Tahoma" w:hAnsi="Tahoma" w:cs="Tahoma"/>
          <w:b/>
          <w:sz w:val="22"/>
          <w:szCs w:val="22"/>
          <w:u w:val="single"/>
        </w:rPr>
        <w:t xml:space="preserve"> : </w:t>
      </w:r>
      <w:r w:rsidR="00796894">
        <w:rPr>
          <w:rFonts w:ascii="Tahoma" w:hAnsi="Tahoma" w:cs="Tahoma"/>
          <w:b/>
          <w:sz w:val="22"/>
          <w:szCs w:val="22"/>
          <w:u w:val="single"/>
        </w:rPr>
        <w:t>Juridiction compétente – élection de domicile</w:t>
      </w:r>
    </w:p>
    <w:p w14:paraId="7357F92D" w14:textId="77777777" w:rsidR="00A61010" w:rsidRPr="00141874" w:rsidRDefault="00A61010" w:rsidP="00A61010">
      <w:pPr>
        <w:spacing w:line="288" w:lineRule="auto"/>
        <w:rPr>
          <w:rFonts w:ascii="Tahoma" w:hAnsi="Tahoma" w:cs="Tahoma"/>
          <w:sz w:val="22"/>
          <w:szCs w:val="22"/>
        </w:rPr>
      </w:pPr>
    </w:p>
    <w:p w14:paraId="10FF29E3" w14:textId="77777777" w:rsidR="00796894" w:rsidRPr="00796894" w:rsidRDefault="00796894" w:rsidP="00796894">
      <w:pPr>
        <w:spacing w:line="288" w:lineRule="auto"/>
        <w:rPr>
          <w:rFonts w:ascii="Tahoma" w:hAnsi="Tahoma" w:cs="Tahoma"/>
          <w:sz w:val="22"/>
          <w:szCs w:val="22"/>
        </w:rPr>
      </w:pPr>
      <w:r w:rsidRPr="00796894">
        <w:rPr>
          <w:rFonts w:ascii="Tahoma" w:hAnsi="Tahoma" w:cs="Tahoma"/>
          <w:sz w:val="22"/>
          <w:szCs w:val="22"/>
        </w:rPr>
        <w:t>Tous les litiges pouvant résulter de l'application de la présente relèvent de la compétence du tribunal administratif de Grenoble.</w:t>
      </w:r>
    </w:p>
    <w:p w14:paraId="27F6AABB" w14:textId="77777777" w:rsidR="00A61010" w:rsidRPr="00141874" w:rsidRDefault="00796894" w:rsidP="00796894">
      <w:pPr>
        <w:spacing w:line="288" w:lineRule="auto"/>
        <w:rPr>
          <w:rFonts w:ascii="Tahoma" w:hAnsi="Tahoma" w:cs="Tahoma"/>
          <w:sz w:val="22"/>
          <w:szCs w:val="22"/>
        </w:rPr>
      </w:pPr>
      <w:r w:rsidRPr="00796894">
        <w:rPr>
          <w:rFonts w:ascii="Tahoma" w:hAnsi="Tahoma" w:cs="Tahoma"/>
          <w:sz w:val="22"/>
          <w:szCs w:val="22"/>
        </w:rPr>
        <w:t>Pour l’exécution de la présente convention, les parties font élection de domicile à ANNECY, au siège du CDG74.</w:t>
      </w:r>
    </w:p>
    <w:p w14:paraId="3D00836D" w14:textId="77777777" w:rsidR="00796894" w:rsidRDefault="00796894" w:rsidP="00A61010">
      <w:pPr>
        <w:spacing w:line="288" w:lineRule="auto"/>
        <w:rPr>
          <w:rFonts w:ascii="Tahoma" w:hAnsi="Tahoma" w:cs="Tahoma"/>
          <w:b/>
          <w:sz w:val="22"/>
          <w:szCs w:val="22"/>
          <w:u w:val="single"/>
        </w:rPr>
      </w:pPr>
    </w:p>
    <w:p w14:paraId="57BECEFA" w14:textId="77777777" w:rsidR="001D3039" w:rsidRDefault="001D3039" w:rsidP="00A61010">
      <w:pPr>
        <w:spacing w:line="288" w:lineRule="auto"/>
        <w:rPr>
          <w:rFonts w:ascii="Tahoma" w:hAnsi="Tahoma" w:cs="Tahoma"/>
          <w:b/>
          <w:sz w:val="22"/>
          <w:szCs w:val="22"/>
          <w:u w:val="single"/>
        </w:rPr>
      </w:pPr>
    </w:p>
    <w:tbl>
      <w:tblPr>
        <w:tblW w:w="4605" w:type="dxa"/>
        <w:tblLayout w:type="fixed"/>
        <w:tblLook w:val="0000" w:firstRow="0" w:lastRow="0" w:firstColumn="0" w:lastColumn="0" w:noHBand="0" w:noVBand="0"/>
      </w:tblPr>
      <w:tblGrid>
        <w:gridCol w:w="4605"/>
      </w:tblGrid>
      <w:tr w:rsidR="00A61010" w:rsidRPr="00141874" w14:paraId="6C0A3258" w14:textId="77777777" w:rsidTr="008720F2">
        <w:tc>
          <w:tcPr>
            <w:tcW w:w="4605" w:type="dxa"/>
          </w:tcPr>
          <w:p w14:paraId="4E17399E" w14:textId="77777777" w:rsidR="00A85BFB" w:rsidRPr="00141874" w:rsidRDefault="00A61010" w:rsidP="007B4FA0">
            <w:pPr>
              <w:snapToGrid w:val="0"/>
              <w:rPr>
                <w:rFonts w:ascii="Tahoma" w:hAnsi="Tahoma" w:cs="Tahoma"/>
                <w:sz w:val="22"/>
                <w:szCs w:val="22"/>
              </w:rPr>
            </w:pPr>
            <w:r w:rsidRPr="00141874">
              <w:rPr>
                <w:rFonts w:ascii="Tahoma" w:hAnsi="Tahoma" w:cs="Tahoma"/>
                <w:sz w:val="22"/>
                <w:szCs w:val="22"/>
              </w:rPr>
              <w:t xml:space="preserve">Fait à </w:t>
            </w:r>
            <w:r w:rsidR="007B4FA0">
              <w:rPr>
                <w:rFonts w:ascii="Tahoma" w:hAnsi="Tahoma" w:cs="Tahoma"/>
                <w:sz w:val="22"/>
                <w:szCs w:val="22"/>
              </w:rPr>
              <w:t>ANNECY</w:t>
            </w:r>
            <w:r w:rsidR="00623556" w:rsidRPr="00141874">
              <w:rPr>
                <w:rFonts w:ascii="Tahoma" w:hAnsi="Tahoma" w:cs="Tahoma"/>
                <w:sz w:val="22"/>
                <w:szCs w:val="22"/>
              </w:rPr>
              <w:t xml:space="preserve">, le </w:t>
            </w:r>
            <w:r w:rsidR="007B4FA0" w:rsidRPr="007B4FA0">
              <w:rPr>
                <w:rFonts w:ascii="Tahoma" w:hAnsi="Tahoma" w:cs="Tahoma"/>
                <w:sz w:val="22"/>
                <w:szCs w:val="22"/>
                <w:highlight w:val="yellow"/>
              </w:rPr>
              <w:t>DATE</w:t>
            </w:r>
          </w:p>
        </w:tc>
      </w:tr>
    </w:tbl>
    <w:p w14:paraId="5E3A52E7" w14:textId="77777777" w:rsidR="00A85BFB" w:rsidRPr="00141874" w:rsidRDefault="00A85BFB" w:rsidP="00A61010">
      <w:pPr>
        <w:jc w:val="left"/>
        <w:rPr>
          <w:rFonts w:ascii="Tahoma" w:hAnsi="Tahoma" w:cs="Tahoma"/>
          <w:sz w:val="22"/>
          <w:szCs w:val="22"/>
        </w:rPr>
      </w:pPr>
    </w:p>
    <w:p w14:paraId="7E8B4859" w14:textId="77777777" w:rsidR="00A85BFB" w:rsidRPr="00141874" w:rsidRDefault="00A85BFB" w:rsidP="00A61010">
      <w:pPr>
        <w:jc w:val="left"/>
        <w:rPr>
          <w:rFonts w:ascii="Tahoma" w:hAnsi="Tahoma" w:cs="Tahoma"/>
          <w:sz w:val="22"/>
          <w:szCs w:val="22"/>
        </w:rPr>
      </w:pPr>
      <w:r w:rsidRPr="00141874">
        <w:rPr>
          <w:rFonts w:ascii="Tahoma" w:hAnsi="Tahoma" w:cs="Tahoma"/>
          <w:sz w:val="22"/>
          <w:szCs w:val="22"/>
        </w:rPr>
        <w:t>Pour le CDG 74</w:t>
      </w:r>
      <w:r w:rsidR="006A3297" w:rsidRPr="00141874">
        <w:rPr>
          <w:rFonts w:ascii="Tahoma" w:hAnsi="Tahoma" w:cs="Tahoma"/>
          <w:sz w:val="22"/>
          <w:szCs w:val="22"/>
        </w:rPr>
        <w:tab/>
      </w:r>
      <w:r w:rsidR="006A3297" w:rsidRPr="00141874">
        <w:rPr>
          <w:rFonts w:ascii="Tahoma" w:hAnsi="Tahoma" w:cs="Tahoma"/>
          <w:sz w:val="22"/>
          <w:szCs w:val="22"/>
        </w:rPr>
        <w:tab/>
      </w:r>
      <w:r w:rsidR="006A3297" w:rsidRPr="00141874">
        <w:rPr>
          <w:rFonts w:ascii="Tahoma" w:hAnsi="Tahoma" w:cs="Tahoma"/>
          <w:sz w:val="22"/>
          <w:szCs w:val="22"/>
        </w:rPr>
        <w:tab/>
      </w:r>
      <w:r w:rsidR="00897560">
        <w:rPr>
          <w:rFonts w:ascii="Tahoma" w:hAnsi="Tahoma" w:cs="Tahoma"/>
          <w:sz w:val="22"/>
          <w:szCs w:val="22"/>
        </w:rPr>
        <w:tab/>
      </w:r>
      <w:r w:rsidR="00897560">
        <w:rPr>
          <w:rFonts w:ascii="Tahoma" w:hAnsi="Tahoma" w:cs="Tahoma"/>
          <w:sz w:val="22"/>
          <w:szCs w:val="22"/>
        </w:rPr>
        <w:tab/>
      </w:r>
      <w:r w:rsidR="00897560">
        <w:rPr>
          <w:rFonts w:ascii="Tahoma" w:hAnsi="Tahoma" w:cs="Tahoma"/>
          <w:sz w:val="22"/>
          <w:szCs w:val="22"/>
        </w:rPr>
        <w:tab/>
      </w:r>
      <w:r w:rsidR="006A3297" w:rsidRPr="00141874">
        <w:rPr>
          <w:rFonts w:ascii="Tahoma" w:hAnsi="Tahoma" w:cs="Tahoma"/>
          <w:sz w:val="22"/>
          <w:szCs w:val="22"/>
        </w:rPr>
        <w:t>Pour la collectivité</w:t>
      </w:r>
      <w:r w:rsidR="00897560">
        <w:rPr>
          <w:rFonts w:ascii="Tahoma" w:hAnsi="Tahoma" w:cs="Tahoma"/>
          <w:sz w:val="22"/>
          <w:szCs w:val="22"/>
        </w:rPr>
        <w:t xml:space="preserve"> XXX</w:t>
      </w:r>
    </w:p>
    <w:p w14:paraId="406375C5" w14:textId="77777777" w:rsidR="006A3297" w:rsidRDefault="006A3297" w:rsidP="00A61010">
      <w:pPr>
        <w:jc w:val="left"/>
        <w:rPr>
          <w:rFonts w:ascii="Tahoma" w:hAnsi="Tahoma" w:cs="Tahoma"/>
          <w:sz w:val="22"/>
          <w:szCs w:val="22"/>
        </w:rPr>
      </w:pPr>
    </w:p>
    <w:p w14:paraId="42A9CEB9" w14:textId="77777777" w:rsidR="00897560" w:rsidRDefault="00897560" w:rsidP="00A61010">
      <w:pPr>
        <w:jc w:val="left"/>
        <w:rPr>
          <w:rFonts w:ascii="Tahoma" w:hAnsi="Tahoma" w:cs="Tahoma"/>
          <w:sz w:val="22"/>
          <w:szCs w:val="22"/>
        </w:rPr>
      </w:pPr>
    </w:p>
    <w:p w14:paraId="076C65FA" w14:textId="77777777" w:rsidR="00897560" w:rsidRDefault="00897560" w:rsidP="00A61010">
      <w:pPr>
        <w:jc w:val="left"/>
        <w:rPr>
          <w:rFonts w:ascii="Tahoma" w:hAnsi="Tahoma" w:cs="Tahoma"/>
          <w:sz w:val="22"/>
          <w:szCs w:val="22"/>
        </w:rPr>
      </w:pPr>
    </w:p>
    <w:p w14:paraId="6490E855" w14:textId="77777777" w:rsidR="007B4FA0" w:rsidRPr="00141874" w:rsidRDefault="007B4FA0" w:rsidP="00A61010">
      <w:pPr>
        <w:jc w:val="left"/>
        <w:rPr>
          <w:rFonts w:ascii="Tahoma" w:hAnsi="Tahoma" w:cs="Tahoma"/>
          <w:sz w:val="22"/>
          <w:szCs w:val="22"/>
        </w:rPr>
      </w:pPr>
    </w:p>
    <w:p w14:paraId="262DEDC8" w14:textId="77777777" w:rsidR="00A61010" w:rsidRPr="00141874" w:rsidRDefault="00A85BFB" w:rsidP="00A61010">
      <w:pPr>
        <w:jc w:val="left"/>
        <w:rPr>
          <w:rFonts w:ascii="Tahoma" w:hAnsi="Tahoma" w:cs="Tahoma"/>
          <w:sz w:val="22"/>
          <w:szCs w:val="22"/>
        </w:rPr>
      </w:pPr>
      <w:r w:rsidRPr="00141874">
        <w:rPr>
          <w:rFonts w:ascii="Tahoma" w:hAnsi="Tahoma" w:cs="Tahoma"/>
          <w:sz w:val="22"/>
          <w:szCs w:val="22"/>
        </w:rPr>
        <w:t>Antoine de M</w:t>
      </w:r>
      <w:r w:rsidR="00623556" w:rsidRPr="00141874">
        <w:rPr>
          <w:rFonts w:ascii="Tahoma" w:hAnsi="Tahoma" w:cs="Tahoma"/>
          <w:sz w:val="22"/>
          <w:szCs w:val="22"/>
        </w:rPr>
        <w:t>ENTHON</w:t>
      </w:r>
      <w:r w:rsidR="006A3297" w:rsidRPr="00141874">
        <w:rPr>
          <w:rFonts w:ascii="Tahoma" w:hAnsi="Tahoma" w:cs="Tahoma"/>
          <w:sz w:val="22"/>
          <w:szCs w:val="22"/>
        </w:rPr>
        <w:tab/>
      </w:r>
      <w:r w:rsidR="006A3297" w:rsidRPr="00141874">
        <w:rPr>
          <w:rFonts w:ascii="Tahoma" w:hAnsi="Tahoma" w:cs="Tahoma"/>
          <w:sz w:val="22"/>
          <w:szCs w:val="22"/>
        </w:rPr>
        <w:tab/>
      </w:r>
      <w:r w:rsidR="00897560">
        <w:rPr>
          <w:rFonts w:ascii="Tahoma" w:hAnsi="Tahoma" w:cs="Tahoma"/>
          <w:sz w:val="22"/>
          <w:szCs w:val="22"/>
        </w:rPr>
        <w:tab/>
      </w:r>
      <w:r w:rsidR="00897560">
        <w:rPr>
          <w:rFonts w:ascii="Tahoma" w:hAnsi="Tahoma" w:cs="Tahoma"/>
          <w:sz w:val="22"/>
          <w:szCs w:val="22"/>
        </w:rPr>
        <w:tab/>
      </w:r>
      <w:r w:rsidR="00897560">
        <w:rPr>
          <w:rFonts w:ascii="Tahoma" w:hAnsi="Tahoma" w:cs="Tahoma"/>
          <w:sz w:val="22"/>
          <w:szCs w:val="22"/>
        </w:rPr>
        <w:tab/>
        <w:t xml:space="preserve">Mme/M </w:t>
      </w:r>
      <w:r w:rsidR="007B4FA0" w:rsidRPr="007B4FA0">
        <w:rPr>
          <w:rFonts w:ascii="Tahoma" w:hAnsi="Tahoma" w:cs="Tahoma"/>
          <w:sz w:val="22"/>
          <w:szCs w:val="22"/>
          <w:highlight w:val="yellow"/>
        </w:rPr>
        <w:t>XXXX</w:t>
      </w:r>
    </w:p>
    <w:p w14:paraId="4B07D085" w14:textId="77777777" w:rsidR="00A85BFB" w:rsidRPr="00141874" w:rsidRDefault="006A3297" w:rsidP="00A61010">
      <w:pPr>
        <w:jc w:val="left"/>
        <w:rPr>
          <w:rFonts w:ascii="Tahoma" w:hAnsi="Tahoma" w:cs="Tahoma"/>
          <w:sz w:val="22"/>
          <w:szCs w:val="22"/>
        </w:rPr>
      </w:pPr>
      <w:r w:rsidRPr="00141874">
        <w:rPr>
          <w:rFonts w:ascii="Tahoma" w:hAnsi="Tahoma" w:cs="Tahoma"/>
          <w:sz w:val="22"/>
          <w:szCs w:val="22"/>
        </w:rPr>
        <w:t>P</w:t>
      </w:r>
      <w:r w:rsidR="00A85BFB" w:rsidRPr="00141874">
        <w:rPr>
          <w:rFonts w:ascii="Tahoma" w:hAnsi="Tahoma" w:cs="Tahoma"/>
          <w:sz w:val="22"/>
          <w:szCs w:val="22"/>
        </w:rPr>
        <w:t>résident</w:t>
      </w:r>
      <w:r w:rsidR="00623556" w:rsidRPr="00141874">
        <w:rPr>
          <w:rFonts w:ascii="Tahoma" w:hAnsi="Tahoma" w:cs="Tahoma"/>
          <w:sz w:val="22"/>
          <w:szCs w:val="22"/>
        </w:rPr>
        <w:tab/>
      </w:r>
      <w:r w:rsidR="00623556" w:rsidRPr="00141874">
        <w:rPr>
          <w:rFonts w:ascii="Tahoma" w:hAnsi="Tahoma" w:cs="Tahoma"/>
          <w:sz w:val="22"/>
          <w:szCs w:val="22"/>
        </w:rPr>
        <w:tab/>
      </w:r>
      <w:r w:rsidR="00623556" w:rsidRPr="00141874">
        <w:rPr>
          <w:rFonts w:ascii="Tahoma" w:hAnsi="Tahoma" w:cs="Tahoma"/>
          <w:sz w:val="22"/>
          <w:szCs w:val="22"/>
        </w:rPr>
        <w:tab/>
      </w:r>
      <w:r w:rsidR="00623556" w:rsidRPr="00141874">
        <w:rPr>
          <w:rFonts w:ascii="Tahoma" w:hAnsi="Tahoma" w:cs="Tahoma"/>
          <w:sz w:val="22"/>
          <w:szCs w:val="22"/>
        </w:rPr>
        <w:tab/>
      </w:r>
      <w:r w:rsidR="00897560">
        <w:rPr>
          <w:rFonts w:ascii="Tahoma" w:hAnsi="Tahoma" w:cs="Tahoma"/>
          <w:sz w:val="22"/>
          <w:szCs w:val="22"/>
        </w:rPr>
        <w:tab/>
      </w:r>
      <w:r w:rsidR="00897560">
        <w:rPr>
          <w:rFonts w:ascii="Tahoma" w:hAnsi="Tahoma" w:cs="Tahoma"/>
          <w:sz w:val="22"/>
          <w:szCs w:val="22"/>
        </w:rPr>
        <w:tab/>
      </w:r>
      <w:r w:rsidR="00897560">
        <w:rPr>
          <w:rFonts w:ascii="Tahoma" w:hAnsi="Tahoma" w:cs="Tahoma"/>
          <w:sz w:val="22"/>
          <w:szCs w:val="22"/>
        </w:rPr>
        <w:tab/>
      </w:r>
      <w:r w:rsidR="007B4FA0" w:rsidRPr="007B4FA0">
        <w:rPr>
          <w:rFonts w:ascii="Tahoma" w:hAnsi="Tahoma" w:cs="Tahoma"/>
          <w:sz w:val="22"/>
          <w:szCs w:val="22"/>
          <w:highlight w:val="yellow"/>
        </w:rPr>
        <w:t>Maire/Président</w:t>
      </w:r>
    </w:p>
    <w:sectPr w:rsidR="00A85BFB" w:rsidRPr="00141874" w:rsidSect="002B2AD6">
      <w:footerReference w:type="default" r:id="rId9"/>
      <w:pgSz w:w="11906" w:h="16838"/>
      <w:pgMar w:top="709" w:right="1418" w:bottom="1134" w:left="1418" w:header="426"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2CF04" w14:textId="77777777" w:rsidR="004D2F6A" w:rsidRDefault="004D2F6A" w:rsidP="00415935">
      <w:pPr>
        <w:spacing w:line="240" w:lineRule="auto"/>
      </w:pPr>
      <w:r>
        <w:separator/>
      </w:r>
    </w:p>
  </w:endnote>
  <w:endnote w:type="continuationSeparator" w:id="0">
    <w:p w14:paraId="267220B0" w14:textId="77777777" w:rsidR="004D2F6A" w:rsidRDefault="004D2F6A" w:rsidP="00415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FF594" w14:textId="77777777" w:rsidR="00FC0337" w:rsidRPr="000C7F02" w:rsidRDefault="00FC0337" w:rsidP="000C7F02">
    <w:pPr>
      <w:pStyle w:val="Pieddepage"/>
      <w:pBdr>
        <w:top w:val="single" w:sz="4" w:space="1" w:color="auto"/>
      </w:pBdr>
      <w:jc w:val="right"/>
      <w:rPr>
        <w:i/>
        <w:sz w:val="16"/>
        <w:szCs w:val="16"/>
      </w:rPr>
    </w:pPr>
    <w:r w:rsidRPr="00415935">
      <w:rPr>
        <w:i/>
        <w:sz w:val="16"/>
        <w:szCs w:val="16"/>
      </w:rPr>
      <w:t>Convention de participation pou</w:t>
    </w:r>
    <w:r>
      <w:rPr>
        <w:i/>
        <w:sz w:val="16"/>
        <w:szCs w:val="16"/>
      </w:rPr>
      <w:t xml:space="preserve">r le risque prévoyance </w:t>
    </w:r>
    <w:r>
      <w:rPr>
        <w:i/>
        <w:sz w:val="16"/>
        <w:szCs w:val="16"/>
      </w:rPr>
      <w:tab/>
    </w:r>
    <w:r>
      <w:rPr>
        <w:i/>
        <w:sz w:val="16"/>
        <w:szCs w:val="16"/>
      </w:rPr>
      <w:tab/>
    </w:r>
    <w:r w:rsidRPr="00415935">
      <w:rPr>
        <w:i/>
        <w:sz w:val="16"/>
        <w:szCs w:val="16"/>
      </w:rPr>
      <w:t xml:space="preserve">Page </w:t>
    </w:r>
    <w:r w:rsidRPr="00415935">
      <w:rPr>
        <w:b/>
        <w:i/>
        <w:sz w:val="16"/>
        <w:szCs w:val="16"/>
      </w:rPr>
      <w:fldChar w:fldCharType="begin"/>
    </w:r>
    <w:r w:rsidRPr="00415935">
      <w:rPr>
        <w:b/>
        <w:i/>
        <w:sz w:val="16"/>
        <w:szCs w:val="16"/>
      </w:rPr>
      <w:instrText>PAGE</w:instrText>
    </w:r>
    <w:r w:rsidRPr="00415935">
      <w:rPr>
        <w:b/>
        <w:i/>
        <w:sz w:val="16"/>
        <w:szCs w:val="16"/>
      </w:rPr>
      <w:fldChar w:fldCharType="separate"/>
    </w:r>
    <w:r w:rsidR="001B4D69">
      <w:rPr>
        <w:b/>
        <w:i/>
        <w:noProof/>
        <w:sz w:val="16"/>
        <w:szCs w:val="16"/>
      </w:rPr>
      <w:t>5</w:t>
    </w:r>
    <w:r w:rsidRPr="00415935">
      <w:rPr>
        <w:b/>
        <w:i/>
        <w:sz w:val="16"/>
        <w:szCs w:val="16"/>
      </w:rPr>
      <w:fldChar w:fldCharType="end"/>
    </w:r>
    <w:r w:rsidRPr="00415935">
      <w:rPr>
        <w:i/>
        <w:sz w:val="16"/>
        <w:szCs w:val="16"/>
      </w:rPr>
      <w:t xml:space="preserve"> sur </w:t>
    </w:r>
    <w:r w:rsidRPr="00415935">
      <w:rPr>
        <w:b/>
        <w:i/>
        <w:sz w:val="16"/>
        <w:szCs w:val="16"/>
      </w:rPr>
      <w:fldChar w:fldCharType="begin"/>
    </w:r>
    <w:r w:rsidRPr="00415935">
      <w:rPr>
        <w:b/>
        <w:i/>
        <w:sz w:val="16"/>
        <w:szCs w:val="16"/>
      </w:rPr>
      <w:instrText>NUMPAGES</w:instrText>
    </w:r>
    <w:r w:rsidRPr="00415935">
      <w:rPr>
        <w:b/>
        <w:i/>
        <w:sz w:val="16"/>
        <w:szCs w:val="16"/>
      </w:rPr>
      <w:fldChar w:fldCharType="separate"/>
    </w:r>
    <w:r w:rsidR="001B4D69">
      <w:rPr>
        <w:b/>
        <w:i/>
        <w:noProof/>
        <w:sz w:val="16"/>
        <w:szCs w:val="16"/>
      </w:rPr>
      <w:t>5</w:t>
    </w:r>
    <w:r w:rsidRPr="00415935">
      <w:rPr>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6FC96" w14:textId="77777777" w:rsidR="004D2F6A" w:rsidRDefault="004D2F6A" w:rsidP="00415935">
      <w:pPr>
        <w:spacing w:line="240" w:lineRule="auto"/>
      </w:pPr>
      <w:r>
        <w:separator/>
      </w:r>
    </w:p>
  </w:footnote>
  <w:footnote w:type="continuationSeparator" w:id="0">
    <w:p w14:paraId="0CDBFE21" w14:textId="77777777" w:rsidR="004D2F6A" w:rsidRDefault="004D2F6A" w:rsidP="004159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Titre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7A32715"/>
    <w:multiLevelType w:val="hybridMultilevel"/>
    <w:tmpl w:val="1FB0250E"/>
    <w:lvl w:ilvl="0" w:tplc="E61C824C">
      <w:start w:val="1"/>
      <w:numFmt w:val="decimal"/>
      <w:lvlText w:val="%1."/>
      <w:lvlJc w:val="left"/>
      <w:pPr>
        <w:ind w:left="720" w:hanging="360"/>
      </w:pPr>
      <w:rPr>
        <w:rFonts w:hint="default"/>
        <w:sz w:val="18"/>
        <w:szCs w:val="1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1A0E2C"/>
    <w:multiLevelType w:val="hybridMultilevel"/>
    <w:tmpl w:val="DAF0CB6A"/>
    <w:lvl w:ilvl="0" w:tplc="F9EA1FA0">
      <w:numFmt w:val="bullet"/>
      <w:lvlText w:val=""/>
      <w:lvlJc w:val="left"/>
      <w:pPr>
        <w:tabs>
          <w:tab w:val="num" w:pos="357"/>
        </w:tabs>
        <w:ind w:left="357"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E1560"/>
    <w:multiLevelType w:val="hybridMultilevel"/>
    <w:tmpl w:val="2E48C5C0"/>
    <w:lvl w:ilvl="0" w:tplc="FE2478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F7245D"/>
    <w:multiLevelType w:val="hybridMultilevel"/>
    <w:tmpl w:val="6A360EE6"/>
    <w:lvl w:ilvl="0" w:tplc="617AE9B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552BAD"/>
    <w:multiLevelType w:val="hybridMultilevel"/>
    <w:tmpl w:val="45646830"/>
    <w:lvl w:ilvl="0" w:tplc="07964D5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0878F4"/>
    <w:multiLevelType w:val="hybridMultilevel"/>
    <w:tmpl w:val="598602B0"/>
    <w:lvl w:ilvl="0" w:tplc="A9CEF2B8">
      <w:start w:val="3"/>
      <w:numFmt w:val="bullet"/>
      <w:lvlText w:val="-"/>
      <w:lvlJc w:val="left"/>
      <w:pPr>
        <w:ind w:left="720" w:hanging="360"/>
      </w:pPr>
      <w:rPr>
        <w:rFonts w:ascii="Univers" w:eastAsia="Calibri" w:hAnsi="Univer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196A51"/>
    <w:multiLevelType w:val="hybridMultilevel"/>
    <w:tmpl w:val="FF2E0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CD5B41"/>
    <w:multiLevelType w:val="hybridMultilevel"/>
    <w:tmpl w:val="22BE5AEA"/>
    <w:lvl w:ilvl="0" w:tplc="8C74B6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BB10E41"/>
    <w:multiLevelType w:val="hybridMultilevel"/>
    <w:tmpl w:val="0E86AA70"/>
    <w:lvl w:ilvl="0" w:tplc="F9EA1FA0">
      <w:numFmt w:val="bullet"/>
      <w:lvlText w:val=""/>
      <w:lvlJc w:val="left"/>
      <w:pPr>
        <w:tabs>
          <w:tab w:val="num" w:pos="357"/>
        </w:tabs>
        <w:ind w:left="357"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1F28CD"/>
    <w:multiLevelType w:val="hybridMultilevel"/>
    <w:tmpl w:val="6344B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1068B4"/>
    <w:multiLevelType w:val="hybridMultilevel"/>
    <w:tmpl w:val="9EB29D92"/>
    <w:lvl w:ilvl="0" w:tplc="A9CEF2B8">
      <w:start w:val="3"/>
      <w:numFmt w:val="bullet"/>
      <w:lvlText w:val="-"/>
      <w:lvlJc w:val="left"/>
      <w:pPr>
        <w:ind w:left="720" w:hanging="360"/>
      </w:pPr>
      <w:rPr>
        <w:rFonts w:ascii="Univers" w:eastAsia="Calibri" w:hAnsi="Univer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0C2FAE"/>
    <w:multiLevelType w:val="hybridMultilevel"/>
    <w:tmpl w:val="E5301C6C"/>
    <w:lvl w:ilvl="0" w:tplc="5CA6A51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12"/>
  </w:num>
  <w:num w:numId="5">
    <w:abstractNumId w:val="11"/>
  </w:num>
  <w:num w:numId="6">
    <w:abstractNumId w:val="6"/>
  </w:num>
  <w:num w:numId="7">
    <w:abstractNumId w:val="10"/>
  </w:num>
  <w:num w:numId="8">
    <w:abstractNumId w:val="8"/>
  </w:num>
  <w:num w:numId="9">
    <w:abstractNumId w:val="7"/>
  </w:num>
  <w:num w:numId="10">
    <w:abstractNumId w:val="3"/>
  </w:num>
  <w:num w:numId="11">
    <w:abstractNumId w:val="5"/>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1010"/>
    <w:rsid w:val="00005781"/>
    <w:rsid w:val="00006DB6"/>
    <w:rsid w:val="000368B0"/>
    <w:rsid w:val="000456F5"/>
    <w:rsid w:val="000461C7"/>
    <w:rsid w:val="00072BF5"/>
    <w:rsid w:val="0007567A"/>
    <w:rsid w:val="000C50DB"/>
    <w:rsid w:val="000C7F02"/>
    <w:rsid w:val="000E1070"/>
    <w:rsid w:val="0013603B"/>
    <w:rsid w:val="00141874"/>
    <w:rsid w:val="00185AF6"/>
    <w:rsid w:val="001B0EBA"/>
    <w:rsid w:val="001B4D69"/>
    <w:rsid w:val="001C7BEA"/>
    <w:rsid w:val="001D3039"/>
    <w:rsid w:val="001D375F"/>
    <w:rsid w:val="0021273E"/>
    <w:rsid w:val="00271D58"/>
    <w:rsid w:val="002B2AD6"/>
    <w:rsid w:val="003B14B5"/>
    <w:rsid w:val="003B4BCD"/>
    <w:rsid w:val="00410EC2"/>
    <w:rsid w:val="00415935"/>
    <w:rsid w:val="004876CA"/>
    <w:rsid w:val="004D2F6A"/>
    <w:rsid w:val="004E1384"/>
    <w:rsid w:val="00525DB4"/>
    <w:rsid w:val="0054799D"/>
    <w:rsid w:val="005C2C60"/>
    <w:rsid w:val="005C4A4D"/>
    <w:rsid w:val="005C6134"/>
    <w:rsid w:val="005D558A"/>
    <w:rsid w:val="005E792E"/>
    <w:rsid w:val="006038E0"/>
    <w:rsid w:val="0061633C"/>
    <w:rsid w:val="0061690C"/>
    <w:rsid w:val="00623556"/>
    <w:rsid w:val="00663F9E"/>
    <w:rsid w:val="00684B08"/>
    <w:rsid w:val="00690F33"/>
    <w:rsid w:val="006A1B83"/>
    <w:rsid w:val="006A2F50"/>
    <w:rsid w:val="006A3297"/>
    <w:rsid w:val="00706BB7"/>
    <w:rsid w:val="00796894"/>
    <w:rsid w:val="007A3266"/>
    <w:rsid w:val="007B4FA0"/>
    <w:rsid w:val="007C69DB"/>
    <w:rsid w:val="007E00B9"/>
    <w:rsid w:val="00862008"/>
    <w:rsid w:val="00863544"/>
    <w:rsid w:val="008644D5"/>
    <w:rsid w:val="008674ED"/>
    <w:rsid w:val="008720F2"/>
    <w:rsid w:val="00895FC6"/>
    <w:rsid w:val="00897560"/>
    <w:rsid w:val="008A1C18"/>
    <w:rsid w:val="008F6320"/>
    <w:rsid w:val="00910260"/>
    <w:rsid w:val="009562B8"/>
    <w:rsid w:val="00974F81"/>
    <w:rsid w:val="00984B68"/>
    <w:rsid w:val="009B48CD"/>
    <w:rsid w:val="00A5643B"/>
    <w:rsid w:val="00A61010"/>
    <w:rsid w:val="00A72B5A"/>
    <w:rsid w:val="00A85BFB"/>
    <w:rsid w:val="00AB16EE"/>
    <w:rsid w:val="00AF3BCB"/>
    <w:rsid w:val="00AF4190"/>
    <w:rsid w:val="00B0005B"/>
    <w:rsid w:val="00B446CD"/>
    <w:rsid w:val="00B6261F"/>
    <w:rsid w:val="00B75BCF"/>
    <w:rsid w:val="00B96035"/>
    <w:rsid w:val="00BF5A28"/>
    <w:rsid w:val="00C174BA"/>
    <w:rsid w:val="00C22059"/>
    <w:rsid w:val="00C33012"/>
    <w:rsid w:val="00CA4712"/>
    <w:rsid w:val="00CA6FF4"/>
    <w:rsid w:val="00D03B5B"/>
    <w:rsid w:val="00D14A7A"/>
    <w:rsid w:val="00D15DCE"/>
    <w:rsid w:val="00D31253"/>
    <w:rsid w:val="00D36F74"/>
    <w:rsid w:val="00D47B00"/>
    <w:rsid w:val="00D804D0"/>
    <w:rsid w:val="00D87098"/>
    <w:rsid w:val="00D9403F"/>
    <w:rsid w:val="00E35481"/>
    <w:rsid w:val="00E454B7"/>
    <w:rsid w:val="00E75F96"/>
    <w:rsid w:val="00ED11A5"/>
    <w:rsid w:val="00EE6281"/>
    <w:rsid w:val="00F07FF1"/>
    <w:rsid w:val="00F61BF1"/>
    <w:rsid w:val="00F67C1E"/>
    <w:rsid w:val="00FB0545"/>
    <w:rsid w:val="00FB557F"/>
    <w:rsid w:val="00FC03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1F1AB4C"/>
  <w15:docId w15:val="{B32FE2D3-C382-4AA2-8F38-AE8EB9FA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1010"/>
    <w:pPr>
      <w:suppressAutoHyphens/>
      <w:spacing w:line="280" w:lineRule="atLeast"/>
      <w:jc w:val="both"/>
    </w:pPr>
    <w:rPr>
      <w:rFonts w:ascii="Verdana" w:eastAsia="Times New Roman" w:hAnsi="Verdana" w:cs="Arial"/>
      <w:sz w:val="18"/>
      <w:szCs w:val="24"/>
      <w:lang w:eastAsia="ar-SA"/>
    </w:rPr>
  </w:style>
  <w:style w:type="paragraph" w:styleId="Titre1">
    <w:name w:val="heading 1"/>
    <w:basedOn w:val="Normal"/>
    <w:next w:val="Normal"/>
    <w:link w:val="Titre1Car"/>
    <w:qFormat/>
    <w:rsid w:val="00A61010"/>
    <w:pPr>
      <w:keepNext/>
      <w:numPr>
        <w:numId w:val="1"/>
      </w:numPr>
      <w:pBdr>
        <w:bottom w:val="single" w:sz="4" w:space="1" w:color="000000"/>
      </w:pBdr>
      <w:spacing w:before="240" w:after="120"/>
      <w:outlineLvl w:val="0"/>
    </w:pPr>
    <w:rPr>
      <w:b/>
      <w:bCs/>
      <w:smallCaps/>
      <w:kern w:val="1"/>
    </w:rPr>
  </w:style>
  <w:style w:type="paragraph" w:styleId="Titre2">
    <w:name w:val="heading 2"/>
    <w:basedOn w:val="Normal"/>
    <w:next w:val="Normal"/>
    <w:link w:val="Titre2Car"/>
    <w:qFormat/>
    <w:rsid w:val="00A61010"/>
    <w:pPr>
      <w:keepNext/>
      <w:numPr>
        <w:ilvl w:val="1"/>
        <w:numId w:val="1"/>
      </w:numPr>
      <w:spacing w:before="240" w:after="60"/>
      <w:outlineLvl w:val="1"/>
    </w:pPr>
    <w:rPr>
      <w:b/>
      <w:bCs/>
      <w:iCs/>
      <w:smallCaps/>
      <w:szCs w:val="20"/>
    </w:rPr>
  </w:style>
  <w:style w:type="paragraph" w:styleId="Titre3">
    <w:name w:val="heading 3"/>
    <w:basedOn w:val="Normal"/>
    <w:next w:val="Normal"/>
    <w:link w:val="Titre3Car"/>
    <w:qFormat/>
    <w:rsid w:val="00A61010"/>
    <w:pPr>
      <w:keepNext/>
      <w:numPr>
        <w:ilvl w:val="2"/>
        <w:numId w:val="1"/>
      </w:numPr>
      <w:spacing w:before="240" w:after="60"/>
      <w:outlineLvl w:val="2"/>
    </w:pPr>
    <w:rPr>
      <w:b/>
      <w:bCs/>
      <w:szCs w:val="26"/>
    </w:rPr>
  </w:style>
  <w:style w:type="paragraph" w:styleId="Titre6">
    <w:name w:val="heading 6"/>
    <w:basedOn w:val="Normal"/>
    <w:next w:val="Normal"/>
    <w:link w:val="Titre6Car"/>
    <w:qFormat/>
    <w:rsid w:val="00A61010"/>
    <w:pPr>
      <w:numPr>
        <w:ilvl w:val="5"/>
        <w:numId w:val="1"/>
      </w:numPr>
      <w:spacing w:before="240" w:after="60"/>
      <w:outlineLvl w:val="5"/>
    </w:pPr>
    <w:rPr>
      <w:rFonts w:ascii="Times New Roman" w:hAnsi="Times New Roman" w:cs="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61010"/>
    <w:rPr>
      <w:rFonts w:ascii="Verdana" w:eastAsia="Times New Roman" w:hAnsi="Verdana" w:cs="Arial"/>
      <w:b/>
      <w:bCs/>
      <w:smallCaps/>
      <w:kern w:val="1"/>
      <w:sz w:val="18"/>
      <w:szCs w:val="24"/>
      <w:lang w:eastAsia="ar-SA"/>
    </w:rPr>
  </w:style>
  <w:style w:type="character" w:customStyle="1" w:styleId="Titre2Car">
    <w:name w:val="Titre 2 Car"/>
    <w:basedOn w:val="Policepardfaut"/>
    <w:link w:val="Titre2"/>
    <w:rsid w:val="00A61010"/>
    <w:rPr>
      <w:rFonts w:ascii="Verdana" w:eastAsia="Times New Roman" w:hAnsi="Verdana" w:cs="Arial"/>
      <w:b/>
      <w:bCs/>
      <w:iCs/>
      <w:smallCaps/>
      <w:sz w:val="18"/>
      <w:szCs w:val="20"/>
      <w:lang w:eastAsia="ar-SA"/>
    </w:rPr>
  </w:style>
  <w:style w:type="character" w:customStyle="1" w:styleId="Titre3Car">
    <w:name w:val="Titre 3 Car"/>
    <w:basedOn w:val="Policepardfaut"/>
    <w:link w:val="Titre3"/>
    <w:rsid w:val="00A61010"/>
    <w:rPr>
      <w:rFonts w:ascii="Verdana" w:eastAsia="Times New Roman" w:hAnsi="Verdana" w:cs="Arial"/>
      <w:b/>
      <w:bCs/>
      <w:sz w:val="18"/>
      <w:szCs w:val="26"/>
      <w:lang w:eastAsia="ar-SA"/>
    </w:rPr>
  </w:style>
  <w:style w:type="character" w:customStyle="1" w:styleId="Titre6Car">
    <w:name w:val="Titre 6 Car"/>
    <w:basedOn w:val="Policepardfaut"/>
    <w:link w:val="Titre6"/>
    <w:rsid w:val="00A61010"/>
    <w:rPr>
      <w:rFonts w:ascii="Times New Roman" w:eastAsia="Times New Roman" w:hAnsi="Times New Roman" w:cs="Times New Roman"/>
      <w:b/>
      <w:bCs/>
      <w:lang w:eastAsia="ar-SA"/>
    </w:rPr>
  </w:style>
  <w:style w:type="paragraph" w:styleId="Corpsdetexte">
    <w:name w:val="Body Text"/>
    <w:basedOn w:val="Normal"/>
    <w:link w:val="CorpsdetexteCar"/>
    <w:rsid w:val="00A61010"/>
    <w:pPr>
      <w:spacing w:line="260" w:lineRule="atLeast"/>
    </w:pPr>
    <w:rPr>
      <w:rFonts w:cs="Times New Roman"/>
      <w:lang w:val="pl-PL"/>
    </w:rPr>
  </w:style>
  <w:style w:type="character" w:customStyle="1" w:styleId="CorpsdetexteCar">
    <w:name w:val="Corps de texte Car"/>
    <w:basedOn w:val="Policepardfaut"/>
    <w:link w:val="Corpsdetexte"/>
    <w:rsid w:val="00A61010"/>
    <w:rPr>
      <w:rFonts w:ascii="Verdana" w:eastAsia="Times New Roman" w:hAnsi="Verdana" w:cs="Times New Roman"/>
      <w:sz w:val="18"/>
      <w:szCs w:val="24"/>
      <w:lang w:val="pl-PL" w:eastAsia="ar-SA"/>
    </w:rPr>
  </w:style>
  <w:style w:type="character" w:styleId="Marquedecommentaire">
    <w:name w:val="annotation reference"/>
    <w:basedOn w:val="Policepardfaut"/>
    <w:rsid w:val="00A61010"/>
    <w:rPr>
      <w:sz w:val="16"/>
      <w:szCs w:val="16"/>
    </w:rPr>
  </w:style>
  <w:style w:type="paragraph" w:styleId="Commentaire">
    <w:name w:val="annotation text"/>
    <w:basedOn w:val="Normal"/>
    <w:link w:val="CommentaireCar"/>
    <w:rsid w:val="00A61010"/>
    <w:pPr>
      <w:spacing w:line="240" w:lineRule="auto"/>
    </w:pPr>
    <w:rPr>
      <w:sz w:val="20"/>
      <w:szCs w:val="20"/>
    </w:rPr>
  </w:style>
  <w:style w:type="character" w:customStyle="1" w:styleId="CommentaireCar">
    <w:name w:val="Commentaire Car"/>
    <w:basedOn w:val="Policepardfaut"/>
    <w:link w:val="Commentaire"/>
    <w:rsid w:val="00A61010"/>
    <w:rPr>
      <w:rFonts w:ascii="Verdana" w:eastAsia="Times New Roman" w:hAnsi="Verdana" w:cs="Arial"/>
      <w:sz w:val="20"/>
      <w:szCs w:val="20"/>
      <w:lang w:eastAsia="ar-SA"/>
    </w:rPr>
  </w:style>
  <w:style w:type="paragraph" w:styleId="Textedebulles">
    <w:name w:val="Balloon Text"/>
    <w:basedOn w:val="Normal"/>
    <w:link w:val="TextedebullesCar"/>
    <w:uiPriority w:val="99"/>
    <w:semiHidden/>
    <w:unhideWhenUsed/>
    <w:rsid w:val="00A6101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1010"/>
    <w:rPr>
      <w:rFonts w:ascii="Tahoma" w:eastAsia="Times New Roman" w:hAnsi="Tahoma" w:cs="Tahoma"/>
      <w:sz w:val="16"/>
      <w:szCs w:val="16"/>
      <w:lang w:eastAsia="ar-SA"/>
    </w:rPr>
  </w:style>
  <w:style w:type="table" w:styleId="Grilledutableau">
    <w:name w:val="Table Grid"/>
    <w:basedOn w:val="TableauNormal"/>
    <w:uiPriority w:val="59"/>
    <w:rsid w:val="00F07FF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07FF1"/>
    <w:pPr>
      <w:suppressAutoHyphens w:val="0"/>
      <w:spacing w:after="200" w:line="276" w:lineRule="auto"/>
      <w:ind w:left="720"/>
      <w:contextualSpacing/>
      <w:jc w:val="left"/>
    </w:pPr>
    <w:rPr>
      <w:rFonts w:ascii="Calibri" w:eastAsia="Calibri" w:hAnsi="Calibri" w:cs="Times New Roman"/>
      <w:sz w:val="22"/>
      <w:szCs w:val="22"/>
      <w:lang w:eastAsia="en-US"/>
    </w:rPr>
  </w:style>
  <w:style w:type="paragraph" w:styleId="En-tte">
    <w:name w:val="header"/>
    <w:basedOn w:val="Normal"/>
    <w:link w:val="En-tteCar"/>
    <w:uiPriority w:val="99"/>
    <w:semiHidden/>
    <w:unhideWhenUsed/>
    <w:rsid w:val="00415935"/>
    <w:pPr>
      <w:tabs>
        <w:tab w:val="center" w:pos="4536"/>
        <w:tab w:val="right" w:pos="9072"/>
      </w:tabs>
    </w:pPr>
  </w:style>
  <w:style w:type="character" w:customStyle="1" w:styleId="En-tteCar">
    <w:name w:val="En-tête Car"/>
    <w:basedOn w:val="Policepardfaut"/>
    <w:link w:val="En-tte"/>
    <w:uiPriority w:val="99"/>
    <w:semiHidden/>
    <w:rsid w:val="00415935"/>
    <w:rPr>
      <w:rFonts w:ascii="Verdana" w:eastAsia="Times New Roman" w:hAnsi="Verdana" w:cs="Arial"/>
      <w:sz w:val="18"/>
      <w:szCs w:val="24"/>
      <w:lang w:eastAsia="ar-SA"/>
    </w:rPr>
  </w:style>
  <w:style w:type="paragraph" w:styleId="Pieddepage">
    <w:name w:val="footer"/>
    <w:basedOn w:val="Normal"/>
    <w:link w:val="PieddepageCar"/>
    <w:uiPriority w:val="99"/>
    <w:unhideWhenUsed/>
    <w:rsid w:val="00415935"/>
    <w:pPr>
      <w:tabs>
        <w:tab w:val="center" w:pos="4536"/>
        <w:tab w:val="right" w:pos="9072"/>
      </w:tabs>
    </w:pPr>
  </w:style>
  <w:style w:type="character" w:customStyle="1" w:styleId="PieddepageCar">
    <w:name w:val="Pied de page Car"/>
    <w:basedOn w:val="Policepardfaut"/>
    <w:link w:val="Pieddepage"/>
    <w:uiPriority w:val="99"/>
    <w:rsid w:val="00415935"/>
    <w:rPr>
      <w:rFonts w:ascii="Verdana" w:eastAsia="Times New Roman" w:hAnsi="Verdana" w:cs="Arial"/>
      <w:sz w:val="18"/>
      <w:szCs w:val="24"/>
      <w:lang w:eastAsia="ar-SA"/>
    </w:rPr>
  </w:style>
  <w:style w:type="paragraph" w:styleId="Sansinterligne">
    <w:name w:val="No Spacing"/>
    <w:uiPriority w:val="1"/>
    <w:qFormat/>
    <w:rsid w:val="008644D5"/>
    <w:rPr>
      <w:rFonts w:asciiTheme="minorHAnsi" w:eastAsiaTheme="minorEastAsia" w:hAnsiTheme="minorHAnsi" w:cstheme="minorBidi"/>
      <w:sz w:val="22"/>
      <w:szCs w:val="22"/>
    </w:rPr>
  </w:style>
  <w:style w:type="paragraph" w:styleId="Objetducommentaire">
    <w:name w:val="annotation subject"/>
    <w:basedOn w:val="Commentaire"/>
    <w:next w:val="Commentaire"/>
    <w:link w:val="ObjetducommentaireCar"/>
    <w:uiPriority w:val="99"/>
    <w:semiHidden/>
    <w:unhideWhenUsed/>
    <w:rsid w:val="000461C7"/>
    <w:rPr>
      <w:b/>
      <w:bCs/>
    </w:rPr>
  </w:style>
  <w:style w:type="character" w:customStyle="1" w:styleId="ObjetducommentaireCar">
    <w:name w:val="Objet du commentaire Car"/>
    <w:basedOn w:val="CommentaireCar"/>
    <w:link w:val="Objetducommentaire"/>
    <w:uiPriority w:val="99"/>
    <w:semiHidden/>
    <w:rsid w:val="000461C7"/>
    <w:rPr>
      <w:rFonts w:ascii="Verdana" w:eastAsia="Times New Roman" w:hAnsi="Verdana" w:cs="Arial"/>
      <w:b/>
      <w:bCs/>
      <w:sz w:val="20"/>
      <w:szCs w:val="20"/>
      <w:lang w:eastAsia="ar-SA"/>
    </w:rPr>
  </w:style>
  <w:style w:type="paragraph" w:styleId="Notedebasdepage">
    <w:name w:val="footnote text"/>
    <w:basedOn w:val="Normal"/>
    <w:link w:val="NotedebasdepageCar"/>
    <w:uiPriority w:val="99"/>
    <w:semiHidden/>
    <w:unhideWhenUsed/>
    <w:rsid w:val="00AB16EE"/>
    <w:pPr>
      <w:spacing w:line="240" w:lineRule="auto"/>
    </w:pPr>
    <w:rPr>
      <w:sz w:val="20"/>
      <w:szCs w:val="20"/>
    </w:rPr>
  </w:style>
  <w:style w:type="character" w:customStyle="1" w:styleId="NotedebasdepageCar">
    <w:name w:val="Note de bas de page Car"/>
    <w:basedOn w:val="Policepardfaut"/>
    <w:link w:val="Notedebasdepage"/>
    <w:uiPriority w:val="99"/>
    <w:semiHidden/>
    <w:rsid w:val="00AB16EE"/>
    <w:rPr>
      <w:rFonts w:ascii="Verdana" w:eastAsia="Times New Roman" w:hAnsi="Verdana" w:cs="Arial"/>
      <w:lang w:eastAsia="ar-SA"/>
    </w:rPr>
  </w:style>
  <w:style w:type="character" w:styleId="Appelnotedebasdep">
    <w:name w:val="footnote reference"/>
    <w:basedOn w:val="Policepardfaut"/>
    <w:uiPriority w:val="99"/>
    <w:semiHidden/>
    <w:unhideWhenUsed/>
    <w:rsid w:val="00AB16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86825-75A3-48EE-B3C5-684037E58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Pages>
  <Words>1458</Words>
  <Characters>8022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lute</dc:creator>
  <cp:lastModifiedBy>SOMMIER Corentin</cp:lastModifiedBy>
  <cp:revision>30</cp:revision>
  <cp:lastPrinted>2013-06-26T08:49:00Z</cp:lastPrinted>
  <dcterms:created xsi:type="dcterms:W3CDTF">2012-12-28T11:38:00Z</dcterms:created>
  <dcterms:modified xsi:type="dcterms:W3CDTF">2019-09-05T07:19:00Z</dcterms:modified>
</cp:coreProperties>
</file>